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center"/>
        <w:rPr>
          <w:rFonts w:hint="default" w:ascii="Times New Roman" w:hAnsi="Times New Roman" w:eastAsia="Times-Roman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eastAsia="Times-Roman" w:cs="Times New Roman"/>
          <w:b/>
          <w:bCs/>
          <w:i w:val="0"/>
          <w:iCs w:val="0"/>
          <w:sz w:val="24"/>
          <w:szCs w:val="24"/>
        </w:rPr>
        <w:t>Przedmiotow</w:t>
      </w:r>
      <w:r>
        <w:rPr>
          <w:rFonts w:hint="default" w:ascii="Times New Roman" w:hAnsi="Times New Roman" w:eastAsia="Times-Roman" w:cs="Times New Roman"/>
          <w:b/>
          <w:bCs/>
          <w:i w:val="0"/>
          <w:iCs w:val="0"/>
          <w:sz w:val="24"/>
          <w:szCs w:val="24"/>
          <w:lang w:val="pl-PL"/>
        </w:rPr>
        <w:t>e Ocenianie</w:t>
      </w:r>
      <w:bookmarkStart w:id="0" w:name="_GoBack"/>
      <w:bookmarkEnd w:id="0"/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-Roman" w:cs="Times New Roman"/>
          <w:b/>
          <w:bCs/>
          <w:i w:val="0"/>
          <w:iCs w:val="0"/>
          <w:sz w:val="24"/>
          <w:szCs w:val="24"/>
          <w:lang w:val="pl-PL"/>
        </w:rPr>
        <w:t xml:space="preserve">Z HISTORII 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pl-PL"/>
        </w:rPr>
        <w:t xml:space="preserve">DLA 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>KLAS IV- VIII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>Szkoł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 xml:space="preserve"> Podstawow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  <w:lang w:val="pl-PL"/>
        </w:rPr>
        <w:t xml:space="preserve">a im. Danuty Siedzikówny ps. “Inka” </w:t>
      </w:r>
      <w:r>
        <w:rPr>
          <w:rFonts w:hint="default" w:ascii="Times New Roman" w:hAnsi="Times New Roman" w:cs="Times New Roman"/>
          <w:b/>
          <w:i w:val="0"/>
          <w:iCs w:val="0"/>
          <w:sz w:val="24"/>
          <w:szCs w:val="24"/>
        </w:rPr>
        <w:t>w Podjazach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-Roman" w:cs="Times New Roman"/>
          <w:b/>
          <w:bCs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  <w:t>Przedmiotowe Zasady Oceniania z historii są zgodne z Wewnątrzszkolnymi Zasadami Oceniania Szkoły Podstawowej im. Danuty Siedzikówny ps. “Inka” w Podjazach,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beforeLines="0" w:afterLines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Na początku nowego roku szkolnego uczniowie i ich rodzice są poinformowani o wymaganiach edukacyjnych wynikających z realizowanego programu nauczania uwzględniających</w:t>
      </w:r>
      <w:r>
        <w:rPr>
          <w:rStyle w:val="8"/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8"/>
          <w:rFonts w:hint="default" w:ascii="Times New Roman" w:hAnsi="Times New Roman" w:cs="Times New Roman"/>
          <w:b w:val="0"/>
          <w:i w:val="0"/>
          <w:iCs w:val="0"/>
          <w:sz w:val="24"/>
          <w:szCs w:val="24"/>
        </w:rPr>
        <w:t>podstawę programową z</w:t>
      </w:r>
      <w:r>
        <w:rPr>
          <w:rStyle w:val="8"/>
          <w:rFonts w:hint="default" w:ascii="Times New Roman" w:hAnsi="Times New Roman" w:cs="Times New Roman"/>
          <w:b w:val="0"/>
          <w:i w:val="0"/>
          <w:iCs w:val="0"/>
          <w:sz w:val="24"/>
          <w:szCs w:val="24"/>
          <w:lang w:val="pl-PL"/>
        </w:rPr>
        <w:t xml:space="preserve"> historii.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beforeLines="0" w:afterLines="0" w:line="360" w:lineRule="auto"/>
        <w:ind w:left="0" w:leftChars="0" w:firstLine="0" w:firstLineChars="0"/>
        <w:jc w:val="both"/>
        <w:rPr>
          <w:rStyle w:val="8"/>
          <w:rFonts w:hint="default" w:ascii="Times New Roman" w:hAnsi="Times New Roman" w:cs="Times New Roman"/>
          <w:b w:val="0"/>
          <w:i w:val="0"/>
          <w:iCs w:val="0"/>
          <w:sz w:val="24"/>
          <w:szCs w:val="24"/>
          <w:lang w:val="pl-PL"/>
        </w:rPr>
      </w:pPr>
      <w:r>
        <w:rPr>
          <w:rStyle w:val="8"/>
          <w:rFonts w:hint="default" w:ascii="Times New Roman" w:hAnsi="Times New Roman" w:cs="Times New Roman"/>
          <w:b w:val="0"/>
          <w:i w:val="0"/>
          <w:iCs w:val="0"/>
          <w:sz w:val="24"/>
          <w:szCs w:val="24"/>
          <w:lang w:val="pl-PL"/>
        </w:rPr>
        <w:t>Przedmiotowe Zasady Oceniania obowiązują podczas nauczania stacjonarnego oraz zdalnego.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beforeLines="0" w:afterLines="0" w:line="360" w:lineRule="auto"/>
        <w:ind w:left="0" w:leftChars="0" w:firstLine="0" w:firstLineChars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  <w:t>Główne cele Przedmiotowych Zasad Oceniania:</w:t>
      </w:r>
    </w:p>
    <w:p>
      <w:pPr>
        <w:pStyle w:val="4"/>
        <w:widowControl/>
        <w:numPr>
          <w:ilvl w:val="0"/>
          <w:numId w:val="0"/>
        </w:numPr>
        <w:tabs>
          <w:tab w:val="left" w:pos="1134"/>
          <w:tab w:val="left" w:pos="8789"/>
        </w:tabs>
        <w:autoSpaceDE/>
        <w:autoSpaceDN/>
        <w:spacing w:line="360" w:lineRule="auto"/>
        <w:ind w:right="284" w:rightChars="0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  <w:t xml:space="preserve">-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dostarczenie informacji o stopniu opanowania wiedzy i umiejętności ucznia;</w:t>
      </w:r>
    </w:p>
    <w:p>
      <w:pPr>
        <w:pStyle w:val="4"/>
        <w:widowControl/>
        <w:numPr>
          <w:ilvl w:val="0"/>
          <w:numId w:val="0"/>
        </w:numPr>
        <w:tabs>
          <w:tab w:val="left" w:pos="1134"/>
          <w:tab w:val="left" w:pos="8789"/>
        </w:tabs>
        <w:autoSpaceDE/>
        <w:autoSpaceDN/>
        <w:spacing w:line="360" w:lineRule="auto"/>
        <w:ind w:right="284" w:rightChars="0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 xml:space="preserve">-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motywowanie ucznia do systematycznej pracy;</w:t>
      </w:r>
    </w:p>
    <w:p>
      <w:pPr>
        <w:pStyle w:val="4"/>
        <w:widowControl/>
        <w:numPr>
          <w:ilvl w:val="0"/>
          <w:numId w:val="0"/>
        </w:numPr>
        <w:tabs>
          <w:tab w:val="left" w:pos="1134"/>
          <w:tab w:val="left" w:pos="8789"/>
        </w:tabs>
        <w:autoSpaceDE/>
        <w:autoSpaceDN/>
        <w:spacing w:line="360" w:lineRule="auto"/>
        <w:ind w:right="284" w:rightChars="0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 xml:space="preserve">-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informacja zwrotna dla  nauczyciela pomagająca w ocenie opanowania przez ucznia wymogów podstawy programowej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 oraz modyfikacji jego działań w zakresie doboru treści, metod, organizacji zajęć;</w:t>
      </w:r>
    </w:p>
    <w:p>
      <w:pPr>
        <w:pStyle w:val="4"/>
        <w:widowControl/>
        <w:numPr>
          <w:ilvl w:val="0"/>
          <w:numId w:val="0"/>
        </w:numPr>
        <w:tabs>
          <w:tab w:val="left" w:pos="1134"/>
          <w:tab w:val="left" w:pos="8789"/>
        </w:tabs>
        <w:autoSpaceDE/>
        <w:autoSpaceDN/>
        <w:spacing w:line="360" w:lineRule="auto"/>
        <w:ind w:right="284" w:rightChars="0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 xml:space="preserve">- 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ukazanie uczniowi obszarów, których jeszcze dostatecznie nie opanował, co powinno go motywować do dalszych działań;.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>-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</w:rPr>
        <w:t>stwarzanie sytuacji, w których będą okazje do zaprezentowania przez ucznia zdobytej wiedzy i umiejętnośc</w:t>
      </w: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>i.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</w:p>
    <w:tbl>
      <w:tblPr>
        <w:tblStyle w:val="3"/>
        <w:tblpPr w:leftFromText="180" w:rightFromText="180" w:vertAnchor="text" w:horzAnchor="page" w:tblpX="2044" w:tblpY="580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8"/>
        <w:gridCol w:w="41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360" w:lineRule="auto"/>
              <w:ind w:left="1220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ocena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360" w:lineRule="auto"/>
              <w:ind w:left="720"/>
              <w:jc w:val="both"/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% poprawnych odpowiedzi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22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celując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-100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84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bardzo dobr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85-9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22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dobr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70-84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9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dostateczn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50-69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84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dopuszczając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30-49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84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niedostateczn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a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60" w:lineRule="auto"/>
              <w:ind w:left="178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0-29</w:t>
            </w:r>
          </w:p>
        </w:tc>
      </w:tr>
    </w:tbl>
    <w:p>
      <w:pPr>
        <w:numPr>
          <w:ilvl w:val="0"/>
          <w:numId w:val="1"/>
        </w:numPr>
        <w:spacing w:beforeLines="0" w:afterLines="0" w:line="360" w:lineRule="auto"/>
        <w:ind w:left="0" w:leftChars="0" w:firstLine="0" w:firstLineChars="0"/>
        <w:jc w:val="left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  <w:t>Oceny wystawiane są według następujących wskaźników procentowych:</w:t>
      </w: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/>
        <w:jc w:val="left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 w:line="360" w:lineRule="auto"/>
        <w:ind w:leftChars="0" w:firstLine="420" w:firstLineChars="0"/>
        <w:jc w:val="both"/>
        <w:rPr>
          <w:rFonts w:hint="default" w:ascii="Times New Roman" w:hAnsi="Times New Roman" w:cs="Times New Roman"/>
          <w:bCs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>Dopuszcza się stosowanie dodatkowych znaków plus (+) i minus (-) przy ocenach cząstkowych. Znaków tych nie przewiduję się przy ocenie śródrocznej i rocznej.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Lines="0" w:afterLines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</w:rPr>
        <w:t>Obszary oceniania:</w:t>
      </w:r>
    </w:p>
    <w:p>
      <w:pPr>
        <w:numPr>
          <w:ilvl w:val="0"/>
          <w:numId w:val="2"/>
        </w:numPr>
        <w:spacing w:beforeLines="0" w:afterLines="0" w:line="360" w:lineRule="auto"/>
        <w:ind w:leftChars="0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w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iadomości objęte podstawą programową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numPr>
          <w:ilvl w:val="0"/>
          <w:numId w:val="2"/>
        </w:numPr>
        <w:spacing w:beforeLines="0" w:afterLines="0" w:line="360" w:lineRule="auto"/>
        <w:ind w:leftChars="0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u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miejętności: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lokalizacja czasowo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-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przestrzenna omawianych wydarzeń (znajomość mapy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 umieszczanie wydarzeń na osi czasu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)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uogólnianie, wartościowanie, porównywanie, wykrywanie analogii historycznych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analiza tekstu źródłowego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umiejętność dyskusji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stosowanie terminologii historycznej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wskazywanie związków przyczynowo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-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skutkowych, przestrzennych pomiędzy historią powszechną, ojczystą i regionalną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wskazywanie związków pomiędzy poszczególnymi dziedzinami życia politycznego, gospodarczego, kulturowo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-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społecznego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ł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ą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czenie faktów i zjawisk z historii Polski z historią powszechną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analiza i ocena zjawisk i faktów historycznych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="28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porównywanie różnych koncepcji politycznych, religijnych, gospodarczych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• gromadzenie informacji przy wykorzystaniu nowoczesnej technologii i różnorodnych źródeł.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Lines="0" w:after="27" w:afterLines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000000"/>
          <w:sz w:val="24"/>
          <w:szCs w:val="24"/>
          <w:lang w:val="pl-PL"/>
        </w:rPr>
        <w:t>Formy sprawdzania osiągnięć ucznia: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prace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 xml:space="preserve"> pisemne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(sprawdziany) - </w:t>
      </w:r>
      <w:r>
        <w:rPr>
          <w:rFonts w:hint="default" w:ascii="Times New Roman" w:hAnsi="Times New Roman" w:cs="Times New Roman"/>
          <w:sz w:val="24"/>
          <w:szCs w:val="24"/>
        </w:rPr>
        <w:t xml:space="preserve">przeprowadzane po zakończeniu każdego działu,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poprzedzone lekcją powtórzeniową, </w:t>
      </w:r>
      <w:r>
        <w:rPr>
          <w:rFonts w:hint="default" w:ascii="Times New Roman" w:hAnsi="Times New Roman" w:cs="Times New Roman"/>
          <w:sz w:val="24"/>
          <w:szCs w:val="24"/>
        </w:rPr>
        <w:t>zap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owiedziane z minimum tygodniowym wyprzedzeniem,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k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artkówki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- n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auczyciel ma prawo zrobić "kartkówkę"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(do 15 minut) z 3 ostatnich lekcji bez zapowiedzi.</w:t>
      </w:r>
    </w:p>
    <w:p>
      <w:pPr>
        <w:spacing w:beforeLines="0" w:after="26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o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dpowiedzi ustne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- 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ocenie podlega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 xml:space="preserve"> z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rozumienie tematu lub pytania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 z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awartość merytoryczna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 s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tosowanie terminologii historyczne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j, s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posób prezentacji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.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r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eferat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y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, prezentacj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e,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p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race domowe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karty pracy,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a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  <w:t>naliza źródeł różnego typu</w:t>
      </w: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konkursy na różnym szczeblu,</w:t>
      </w:r>
    </w:p>
    <w:p>
      <w:pPr>
        <w:numPr>
          <w:ilvl w:val="0"/>
          <w:numId w:val="3"/>
        </w:numPr>
        <w:spacing w:beforeLines="0" w:after="27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praca na lekcji (aktywność).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Lines="0" w:after="26" w:afterLines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Do każdej oceny przypisana jest odpowiednia waga: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="26" w:afterLines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  <w:t>formy aktywności</w:t>
            </w:r>
          </w:p>
        </w:tc>
        <w:tc>
          <w:tcPr>
            <w:tcW w:w="4428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="26" w:afterLines="0"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  <w:t>waga oceny* 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praca klasowa, sprawdzian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ze względu na zakres materiału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 –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artkówka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–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–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praca domowa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pisemna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dłuższa forma wypowiedzi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-p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isemna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krótka forma wypowiedzi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inna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np.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u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stna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ktywność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osiągnięcia w konkursach i olimpiadach: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etap wojewódzki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etap powiatowy/rejonowy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etap gminny 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etap szkolny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  <w:t>inne</w:t>
            </w:r>
          </w:p>
        </w:tc>
        <w:tc>
          <w:tcPr>
            <w:tcW w:w="4428" w:type="dxa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4"/>
                <w:szCs w:val="24"/>
                <w:vertAlign w:val="baseline"/>
                <w:lang w:val="pl-PL"/>
              </w:rPr>
              <w:t>2-1</w:t>
            </w:r>
          </w:p>
        </w:tc>
      </w:tr>
    </w:tbl>
    <w:p>
      <w:pPr>
        <w:spacing w:beforeLines="0" w:afterLines="0" w:line="240" w:lineRule="auto"/>
        <w:jc w:val="lef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* W przypadku przejścia w tryb nauki zdalnej, wszystkie oceny otrzymują wagę 2.</w:t>
      </w:r>
    </w:p>
    <w:p>
      <w:pPr>
        <w:spacing w:beforeLines="0" w:afterLines="0" w:line="240" w:lineRule="auto"/>
        <w:jc w:val="lef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** Ocena śródroczna i roczna nie stanowi średniej ocen cząstkowych.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beforeLines="0" w:after="26" w:afterLines="0" w:line="360" w:lineRule="auto"/>
        <w:ind w:leftChars="0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beforeLines="0" w:after="26" w:afterLines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U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czeń ma prawo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l-PL"/>
        </w:rPr>
        <w:t xml:space="preserve"> jeden raz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w ci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l-PL"/>
        </w:rPr>
        <w:t>ą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gu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l-PL"/>
        </w:rPr>
        <w:t xml:space="preserve"> półrocza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zgłosić nieprzygotowanie do lekcji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l-PL"/>
        </w:rPr>
        <w:t xml:space="preserve"> oraz poprawić niekorzystną dla niego ocenę w ciągu dwóch tygodni od jej otrzymania.</w:t>
      </w: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spacing w:beforeLines="0" w:afterLines="0" w:line="360" w:lineRule="auto"/>
        <w:jc w:val="both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</w:rPr>
      </w:pPr>
    </w:p>
    <w:p>
      <w:pPr>
        <w:spacing w:beforeLines="0" w:afterLines="0" w:line="360" w:lineRule="auto"/>
        <w:jc w:val="righ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  <w:t>opracowanie: Marta Strojk</w:t>
      </w:r>
    </w:p>
    <w:p>
      <w:pPr>
        <w:spacing w:beforeLines="0" w:afterLines="0" w:line="360" w:lineRule="auto"/>
        <w:jc w:val="right"/>
        <w:rPr>
          <w:rFonts w:hint="default" w:ascii="Times New Roman" w:hAnsi="Times New Roman" w:eastAsia="Times New Roman" w:cs="Times New Roman"/>
          <w:i w:val="0"/>
          <w:iCs w:val="0"/>
          <w:color w:val="000000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2A1A3"/>
    <w:multiLevelType w:val="singleLevel"/>
    <w:tmpl w:val="9882A1A3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AD89CCC1"/>
    <w:multiLevelType w:val="singleLevel"/>
    <w:tmpl w:val="AD89CCC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0AD8664"/>
    <w:multiLevelType w:val="singleLevel"/>
    <w:tmpl w:val="E0AD8664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A6B86"/>
    <w:rsid w:val="09812F87"/>
    <w:rsid w:val="11BC201A"/>
    <w:rsid w:val="48144387"/>
    <w:rsid w:val="4C8173AC"/>
    <w:rsid w:val="56743031"/>
    <w:rsid w:val="65173B2E"/>
    <w:rsid w:val="65280344"/>
    <w:rsid w:val="69A81412"/>
    <w:rsid w:val="7AB15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112"/>
    </w:pPr>
    <w:rPr>
      <w:rFonts w:ascii="Arial" w:hAnsi="Arial" w:eastAsia="Arial" w:cs="Arial"/>
      <w:sz w:val="19"/>
      <w:szCs w:val="19"/>
      <w:lang w:eastAsia="pl-PL" w:bidi="pl-PL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  <w:style w:type="paragraph" w:customStyle="1" w:styleId="7">
    <w:name w:val="Tekst treści"/>
    <w:link w:val="9"/>
    <w:qFormat/>
    <w:uiPriority w:val="0"/>
    <w:pPr>
      <w:shd w:val="clear" w:color="auto" w:fill="FFFFFF"/>
      <w:spacing w:line="0" w:lineRule="atLeast"/>
      <w:ind w:hanging="520"/>
    </w:pPr>
    <w:rPr>
      <w:rFonts w:ascii="Times New Roman" w:hAnsi="Times New Roman" w:eastAsia="Times New Roman" w:cs="Times New Roman"/>
      <w:color w:val="auto"/>
      <w:sz w:val="23"/>
      <w:szCs w:val="23"/>
      <w:lang w:val="pl-PL" w:eastAsia="en-US"/>
    </w:rPr>
  </w:style>
  <w:style w:type="character" w:customStyle="1" w:styleId="8">
    <w:name w:val="Tekst treści + Pogrubienie"/>
    <w:basedOn w:val="9"/>
    <w:qFormat/>
    <w:uiPriority w:val="0"/>
    <w:rPr>
      <w:rFonts w:ascii="Times New Roman" w:hAnsi="Times New Roman"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Tekst treści_"/>
    <w:basedOn w:val="2"/>
    <w:link w:val="7"/>
    <w:qFormat/>
    <w:uiPriority w:val="0"/>
    <w:rPr>
      <w:rFonts w:ascii="Times New Roman" w:hAnsi="Times New Roman" w:eastAsia="Times New Roman" w:cs="Times New Roman"/>
      <w:color w:val="auto"/>
      <w:sz w:val="23"/>
      <w:szCs w:val="23"/>
      <w:lang w:val="pl-PL" w:eastAsia="en-US"/>
    </w:rPr>
  </w:style>
  <w:style w:type="paragraph" w:customStyle="1" w:styleId="10">
    <w:name w:val="Tekst treści (2)"/>
    <w:basedOn w:val="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z w:val="23"/>
      <w:szCs w:val="23"/>
      <w:lang w:val="pl-PL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2019-09-15T20:10:00Z</dcterms:created>
  <dc:creator>Marta</dc:creator>
  <cp:lastModifiedBy>Marta</cp:lastModifiedBy>
  <dcterms:modified xsi:type="dcterms:W3CDTF">2021-09-29T18:18:49Z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2057-11.2.0.10294</vt:lpwstr>
  </property>
  <property fmtid="{D5CDD505-2E9C-101B-9397-08002B2CF9AE}" pid="3" name="ICV">
    <vt:lpwstr>FDD3BA27C30D46D280FFA8032B73D714</vt:lpwstr>
  </property>
</Properties>
</file>