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wiadomości dotyczących  działu,,Podstawy eksploatacji  sprzętu  rolniczego”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*Powtórzyć  zagadnienia  dotyczące  tego  działu  i   pisemnie  odpowiedzieć  na  pytania: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-Wyjaśnić pojęcia: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agregat  maszynowy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agregat  bierny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agregat czynny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proces produkcji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proces technologiczny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zabieg produkcyjny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-Jakie są  podstawowe zasady agregatowania sprzętu rolniczego?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-Co  rozumiemy  jako opór  roboczy  maszyn i narzędzi rolniczych?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-Podać zasady  dobrej organizacji orki i doprawiania gleby.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-Omówić organizację nawożenia roślin.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-Przedstawić szczegółowo  kalibrację  opryskiwacza ciągnikowego zawieszanego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-Omówić podstawowe regulacje przeprowadzane w siewnikach rzędowych i sposób przeprowadzenia ;próby kręconej “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*Zrobić zdjęcia  z  notatek i  przesłać  na e-mail:amrozowski2020@gmail.com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