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D1F6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 – I</w:t>
      </w:r>
      <w:r w:rsidR="00A57667">
        <w:rPr>
          <w:rFonts w:ascii="Verdana" w:eastAsia="Times New Roman" w:hAnsi="Verdana"/>
          <w:b/>
        </w:rPr>
        <w:t xml:space="preserve">I </w:t>
      </w:r>
      <w:r w:rsidR="00D034B4">
        <w:rPr>
          <w:rFonts w:ascii="Verdana" w:eastAsia="Times New Roman" w:hAnsi="Verdana"/>
          <w:b/>
        </w:rPr>
        <w:t>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A57667">
        <w:rPr>
          <w:rFonts w:ascii="Verdana" w:eastAsia="Times New Roman" w:hAnsi="Verdana"/>
          <w:u w:val="single"/>
        </w:rPr>
        <w:t>Uwarunkowania lokalizacji centrów logistycznych i dystrybucyjnych. Wybór lokalizacji logistycznej.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A57667">
          <w:rPr>
            <w:rStyle w:val="Hipercze"/>
          </w:rPr>
          <w:t>https://mfiles.pl/pl/index.php/centrum_logistyczne</w:t>
        </w:r>
      </w:hyperlink>
    </w:p>
    <w:p w:rsidR="00BD1F64" w:rsidRPr="006A233F" w:rsidRDefault="00BD1F64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BD1F64" w:rsidRPr="00A57667" w:rsidRDefault="00A57667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W jakich miejscach powinny być rozmieszczone centra logistyczne?</w:t>
      </w:r>
    </w:p>
    <w:p w:rsidR="00A57667" w:rsidRPr="00A57667" w:rsidRDefault="00A57667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czynniki decydują o lokalizacji budowy centrum logistycznego o charakterze komercyjnym?</w:t>
      </w:r>
    </w:p>
    <w:p w:rsidR="00A57667" w:rsidRPr="00A57667" w:rsidRDefault="00A57667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czynniki decydują o lokalizacji centrum logistycznego o charakterze publicznym?</w:t>
      </w:r>
    </w:p>
    <w:p w:rsidR="00A57667" w:rsidRDefault="00A57667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Podaj czynniki decydujące o lokalizacji, wspólne dla komercyjnego oraz publicznego charakteru centrum logistycznego.</w:t>
      </w:r>
    </w:p>
    <w:sectPr w:rsidR="00A5766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87" w:rsidRDefault="00BC0987" w:rsidP="008A462B">
      <w:r>
        <w:separator/>
      </w:r>
    </w:p>
  </w:endnote>
  <w:endnote w:type="continuationSeparator" w:id="0">
    <w:p w:rsidR="00BC0987" w:rsidRDefault="00BC0987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87" w:rsidRDefault="00BC0987" w:rsidP="008A462B">
      <w:r>
        <w:separator/>
      </w:r>
    </w:p>
  </w:footnote>
  <w:footnote w:type="continuationSeparator" w:id="0">
    <w:p w:rsidR="00BC0987" w:rsidRDefault="00BC0987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6A233F"/>
    <w:rsid w:val="007E63D2"/>
    <w:rsid w:val="008A462B"/>
    <w:rsid w:val="008E4BF4"/>
    <w:rsid w:val="00A57667"/>
    <w:rsid w:val="00A965AC"/>
    <w:rsid w:val="00BC0987"/>
    <w:rsid w:val="00BD1F64"/>
    <w:rsid w:val="00C42548"/>
    <w:rsid w:val="00D034B4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centrum_logi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40D5-B2AF-4127-8442-A5384CCB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2020-04-21T12:11:00Z</dcterms:created>
  <dcterms:modified xsi:type="dcterms:W3CDTF">2020-04-21T12:29:00Z</dcterms:modified>
</cp:coreProperties>
</file>