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A7B40" w14:textId="77777777" w:rsidR="00AB1DC8" w:rsidRPr="005C7277" w:rsidRDefault="00AB1DC8" w:rsidP="00AB1DC8">
      <w:r w:rsidRPr="005C7277">
        <w:t>Temat: Podróżowanie po Europie i świecie</w:t>
      </w:r>
    </w:p>
    <w:p w14:paraId="4E5716CC" w14:textId="77777777" w:rsidR="00AB1DC8" w:rsidRPr="005C7277" w:rsidRDefault="00AB1DC8" w:rsidP="00AB1DC8">
      <w:r w:rsidRPr="005C7277">
        <w:t xml:space="preserve">Cele: </w:t>
      </w:r>
    </w:p>
    <w:p w14:paraId="7E12740F" w14:textId="77777777" w:rsidR="00AB1DC8" w:rsidRPr="005C7277" w:rsidRDefault="00AB1DC8" w:rsidP="00AB1DC8">
      <w:r w:rsidRPr="005C7277">
        <w:t xml:space="preserve">- obywatel w podróży </w:t>
      </w:r>
    </w:p>
    <w:p w14:paraId="24FB6F7E" w14:textId="77777777" w:rsidR="00AB1DC8" w:rsidRPr="005C7277" w:rsidRDefault="00AB1DC8" w:rsidP="00AB1DC8">
      <w:r w:rsidRPr="005C7277">
        <w:t xml:space="preserve">- utrata dokumentów za granicą </w:t>
      </w:r>
    </w:p>
    <w:p w14:paraId="5CF0FAFB" w14:textId="77777777" w:rsidR="00AB1DC8" w:rsidRPr="005C7277" w:rsidRDefault="00AB1DC8" w:rsidP="00AB1DC8">
      <w:r w:rsidRPr="005C7277">
        <w:t xml:space="preserve">- Europejska Karta Ubezpieczenia Zdrowotnego </w:t>
      </w:r>
    </w:p>
    <w:p w14:paraId="23D95098" w14:textId="77777777" w:rsidR="00AB1DC8" w:rsidRPr="005C7277" w:rsidRDefault="00AB1DC8" w:rsidP="00AB1DC8">
      <w:r w:rsidRPr="005C7277">
        <w:t xml:space="preserve">- strefa </w:t>
      </w:r>
      <w:proofErr w:type="spellStart"/>
      <w:r w:rsidRPr="005C7277">
        <w:t>Schengen</w:t>
      </w:r>
      <w:proofErr w:type="spellEnd"/>
      <w:r w:rsidRPr="005C7277">
        <w:t xml:space="preserve"> i jej granice</w:t>
      </w:r>
    </w:p>
    <w:p w14:paraId="62F58FCA" w14:textId="77777777" w:rsidR="00AB1DC8" w:rsidRPr="005C7277" w:rsidRDefault="00AB1DC8" w:rsidP="00AB1DC8"/>
    <w:p w14:paraId="019A178C" w14:textId="77777777" w:rsidR="00AB1DC8" w:rsidRPr="005C7277" w:rsidRDefault="00AB1DC8" w:rsidP="00AB1DC8">
      <w:pPr>
        <w:numPr>
          <w:ilvl w:val="0"/>
          <w:numId w:val="1"/>
        </w:numPr>
      </w:pPr>
      <w:r w:rsidRPr="005C7277">
        <w:t>Polak za granicą – informator dla turystów dostępny na stronach internetowych Ministerstwa Spraw Zagranicznych</w:t>
      </w:r>
    </w:p>
    <w:p w14:paraId="0F85FD33" w14:textId="77777777" w:rsidR="00AB1DC8" w:rsidRPr="005C7277" w:rsidRDefault="00AB1DC8" w:rsidP="00AB1DC8">
      <w:pPr>
        <w:numPr>
          <w:ilvl w:val="0"/>
          <w:numId w:val="1"/>
        </w:numPr>
      </w:pPr>
      <w:r w:rsidRPr="005C7277">
        <w:t>Polski turysta, który za granicą utracił dokumenty, powinien zwrócić się o pomoc do tamtejszej polskiej placówki zagranicznej lub konsularnej. Konsul wyda poszkodowanemu paszport tymczasowy, umożliwiający powrót do kraju. Jeżeli turysta stracił wszystkie pieniądze, konsul może mu przekazać pewną sumę no pokrycie kosztów podróży powrotnej. Jeżeli w danym kraju nie ma polskiego konsula, turysta może zwrócić się o pomoc do przedstawiciela każdego państwa Unii Europejskiej</w:t>
      </w:r>
    </w:p>
    <w:p w14:paraId="224F4EDE" w14:textId="77777777" w:rsidR="00AB1DC8" w:rsidRPr="005C7277" w:rsidRDefault="00AB1DC8" w:rsidP="00AB1DC8">
      <w:pPr>
        <w:numPr>
          <w:ilvl w:val="0"/>
          <w:numId w:val="1"/>
        </w:numPr>
      </w:pPr>
      <w:r w:rsidRPr="005C7277">
        <w:t>Europejska Karta Ubezpieczenia Zdrowotnego – dokument umożliwiający osobie przebywającej w jednym z państw UE, a także w Norwegii, Islandii, Szwajcarii i Lichtensteinie, skorzystanie w nagłych wypadkach z usług publicznej służby zdrowia</w:t>
      </w:r>
    </w:p>
    <w:p w14:paraId="5791689C" w14:textId="77777777" w:rsidR="00AB1DC8" w:rsidRPr="005C7277" w:rsidRDefault="00AB1DC8" w:rsidP="00AB1DC8"/>
    <w:p w14:paraId="00671596" w14:textId="77777777" w:rsidR="00AB1DC8" w:rsidRPr="005C7277" w:rsidRDefault="00AB1DC8" w:rsidP="00AB1DC8">
      <w:r w:rsidRPr="005C7277">
        <w:rPr>
          <w:b/>
          <w:bCs/>
        </w:rPr>
        <w:t xml:space="preserve">Układ z </w:t>
      </w:r>
      <w:proofErr w:type="spellStart"/>
      <w:r w:rsidRPr="005C7277">
        <w:rPr>
          <w:b/>
          <w:bCs/>
        </w:rPr>
        <w:t>Schengen</w:t>
      </w:r>
      <w:proofErr w:type="spellEnd"/>
      <w:r w:rsidRPr="005C7277">
        <w:t xml:space="preserve"> – porozumienie, które znosi kontrolę osób przekraczających </w:t>
      </w:r>
      <w:hyperlink r:id="rId5" w:tooltip="Granica państwowa" w:history="1">
        <w:r w:rsidRPr="005C7277">
          <w:rPr>
            <w:rStyle w:val="Hipercze"/>
            <w:color w:val="auto"/>
            <w:u w:val="none"/>
          </w:rPr>
          <w:t>granice</w:t>
        </w:r>
      </w:hyperlink>
      <w:r w:rsidRPr="005C7277">
        <w:t xml:space="preserve"> między państwami członkowskimi układu a w zamian za to wzmacnia współpracę w zakresie bezpieczeństwa i </w:t>
      </w:r>
      <w:hyperlink r:id="rId6" w:tooltip="Polityka azylowa (strona nie istnieje)" w:history="1">
        <w:r w:rsidRPr="005C7277">
          <w:rPr>
            <w:rStyle w:val="Hipercze"/>
            <w:color w:val="auto"/>
            <w:u w:val="none"/>
          </w:rPr>
          <w:t>polityki azylowej</w:t>
        </w:r>
      </w:hyperlink>
      <w:r w:rsidRPr="005C7277">
        <w:t>. Dotyczy również współpracy przygranicznej.</w:t>
      </w:r>
    </w:p>
    <w:p w14:paraId="0DB3BC50" w14:textId="77777777" w:rsidR="00AB1DC8" w:rsidRPr="005C7277" w:rsidRDefault="00AB1DC8" w:rsidP="00AB1DC8">
      <w:r w:rsidRPr="005C7277">
        <w:t xml:space="preserve">13 lipca 1984 </w:t>
      </w:r>
      <w:hyperlink r:id="rId7" w:tooltip="Niemcy Zachodnie" w:history="1">
        <w:r w:rsidRPr="005C7277">
          <w:rPr>
            <w:rStyle w:val="Hipercze"/>
            <w:color w:val="auto"/>
            <w:u w:val="none"/>
          </w:rPr>
          <w:t>RFN</w:t>
        </w:r>
      </w:hyperlink>
      <w:r w:rsidRPr="005C7277">
        <w:t xml:space="preserve"> i </w:t>
      </w:r>
      <w:hyperlink r:id="rId8" w:tooltip="Francja" w:history="1">
        <w:r w:rsidRPr="005C7277">
          <w:rPr>
            <w:rStyle w:val="Hipercze"/>
            <w:color w:val="auto"/>
            <w:u w:val="none"/>
          </w:rPr>
          <w:t>Francja</w:t>
        </w:r>
      </w:hyperlink>
      <w:r w:rsidRPr="005C7277">
        <w:t xml:space="preserve"> zawarły porozumienie w </w:t>
      </w:r>
      <w:hyperlink r:id="rId9" w:tooltip="Saarbrücken" w:history="1">
        <w:proofErr w:type="spellStart"/>
        <w:r w:rsidRPr="005C7277">
          <w:rPr>
            <w:rStyle w:val="Hipercze"/>
            <w:color w:val="auto"/>
            <w:u w:val="none"/>
          </w:rPr>
          <w:t>Saarbrücken</w:t>
        </w:r>
        <w:proofErr w:type="spellEnd"/>
      </w:hyperlink>
      <w:r w:rsidRPr="005C7277">
        <w:t xml:space="preserve">. Była to dwustronna umowa w sprawie ułatwiania </w:t>
      </w:r>
      <w:hyperlink r:id="rId10" w:tooltip="Obywatelstwo" w:history="1">
        <w:r w:rsidRPr="005C7277">
          <w:rPr>
            <w:rStyle w:val="Hipercze"/>
            <w:color w:val="auto"/>
            <w:u w:val="none"/>
          </w:rPr>
          <w:t>obywatelom</w:t>
        </w:r>
      </w:hyperlink>
      <w:r w:rsidRPr="005C7277">
        <w:t xml:space="preserve"> obu państw przekraczania wspólnej granicy. Umową z </w:t>
      </w:r>
      <w:proofErr w:type="spellStart"/>
      <w:r w:rsidRPr="005C7277">
        <w:t>Saarbrücken</w:t>
      </w:r>
      <w:proofErr w:type="spellEnd"/>
      <w:r w:rsidRPr="005C7277">
        <w:t xml:space="preserve"> zainteresowały się kraje </w:t>
      </w:r>
      <w:hyperlink r:id="rId11" w:tooltip="Benelux" w:history="1">
        <w:r w:rsidRPr="005C7277">
          <w:rPr>
            <w:rStyle w:val="Hipercze"/>
            <w:color w:val="auto"/>
            <w:u w:val="none"/>
          </w:rPr>
          <w:t>Beneluksu</w:t>
        </w:r>
      </w:hyperlink>
      <w:r w:rsidRPr="005C7277">
        <w:t xml:space="preserve">, mające już doświadczenie w funkcjonowaniu </w:t>
      </w:r>
      <w:hyperlink r:id="rId12" w:tooltip="Unia paszportowa (strona nie istnieje)" w:history="1">
        <w:r w:rsidRPr="005C7277">
          <w:rPr>
            <w:rStyle w:val="Hipercze"/>
            <w:color w:val="auto"/>
            <w:u w:val="none"/>
          </w:rPr>
          <w:t>unii paszportowej</w:t>
        </w:r>
      </w:hyperlink>
      <w:r w:rsidRPr="005C7277">
        <w:t xml:space="preserve">. Wykorzystano więc część rozwiązań z </w:t>
      </w:r>
      <w:proofErr w:type="spellStart"/>
      <w:r w:rsidRPr="005C7277">
        <w:t>Saarbrücken</w:t>
      </w:r>
      <w:proofErr w:type="spellEnd"/>
      <w:r w:rsidRPr="005C7277">
        <w:t xml:space="preserve"> i zawarto nową umowę.</w:t>
      </w:r>
    </w:p>
    <w:p w14:paraId="434C11F8" w14:textId="77777777" w:rsidR="00AB1DC8" w:rsidRPr="005C7277" w:rsidRDefault="00AB1DC8" w:rsidP="00AB1DC8">
      <w:r w:rsidRPr="005C7277">
        <w:t xml:space="preserve">Porozumienie to zostało zawarte w miejscowości </w:t>
      </w:r>
      <w:hyperlink r:id="rId13" w:tooltip="Schengen" w:history="1">
        <w:proofErr w:type="spellStart"/>
        <w:r w:rsidRPr="005C7277">
          <w:rPr>
            <w:rStyle w:val="Hipercze"/>
            <w:color w:val="auto"/>
            <w:u w:val="none"/>
          </w:rPr>
          <w:t>Schengen</w:t>
        </w:r>
        <w:proofErr w:type="spellEnd"/>
      </w:hyperlink>
      <w:r w:rsidRPr="005C7277">
        <w:t xml:space="preserve"> w </w:t>
      </w:r>
      <w:hyperlink r:id="rId14" w:tooltip="Luksemburg" w:history="1">
        <w:r w:rsidRPr="005C7277">
          <w:rPr>
            <w:rStyle w:val="Hipercze"/>
            <w:color w:val="auto"/>
            <w:u w:val="none"/>
          </w:rPr>
          <w:t>Luksemburgu</w:t>
        </w:r>
      </w:hyperlink>
      <w:r w:rsidRPr="005C7277">
        <w:t xml:space="preserve"> </w:t>
      </w:r>
      <w:hyperlink r:id="rId15" w:tooltip="14 czerwca" w:history="1">
        <w:r w:rsidRPr="005C7277">
          <w:rPr>
            <w:rStyle w:val="Hipercze"/>
            <w:color w:val="auto"/>
            <w:u w:val="none"/>
          </w:rPr>
          <w:t>14 czerwca</w:t>
        </w:r>
      </w:hyperlink>
      <w:r w:rsidRPr="005C7277">
        <w:t xml:space="preserve"> </w:t>
      </w:r>
      <w:hyperlink r:id="rId16" w:tooltip="1985" w:history="1">
        <w:r w:rsidRPr="005C7277">
          <w:rPr>
            <w:rStyle w:val="Hipercze"/>
            <w:color w:val="auto"/>
            <w:u w:val="none"/>
          </w:rPr>
          <w:t>1985</w:t>
        </w:r>
      </w:hyperlink>
      <w:r w:rsidRPr="005C7277">
        <w:t>.</w:t>
      </w:r>
    </w:p>
    <w:p w14:paraId="585A352F" w14:textId="77777777" w:rsidR="00AB1DC8" w:rsidRPr="005C7277" w:rsidRDefault="00AB1DC8" w:rsidP="00AB1DC8">
      <w:r w:rsidRPr="005C7277">
        <w:t>Natomiast 26 marca 1995 całkowicie zniesiono kontrolę na granicach.</w:t>
      </w:r>
    </w:p>
    <w:p w14:paraId="17B7332E" w14:textId="77777777" w:rsidR="00AB1DC8" w:rsidRPr="005C7277" w:rsidRDefault="00AB1DC8" w:rsidP="00AB1DC8">
      <w:r w:rsidRPr="005C7277">
        <w:t xml:space="preserve">Polska weszła do układu z </w:t>
      </w:r>
      <w:proofErr w:type="spellStart"/>
      <w:r w:rsidRPr="005C7277">
        <w:t>Schengen</w:t>
      </w:r>
      <w:proofErr w:type="spellEnd"/>
      <w:r w:rsidRPr="005C7277">
        <w:t xml:space="preserve"> 21 grudnia 2007.</w:t>
      </w:r>
    </w:p>
    <w:p w14:paraId="6A331CC9" w14:textId="77777777" w:rsidR="00AB1DC8" w:rsidRPr="005C7277" w:rsidRDefault="00AB1DC8" w:rsidP="00AB1DC8">
      <w:r w:rsidRPr="005C7277">
        <w:t xml:space="preserve">Państwa należące do grupy </w:t>
      </w:r>
      <w:proofErr w:type="spellStart"/>
      <w:r w:rsidRPr="005C7277">
        <w:t>Schengen</w:t>
      </w:r>
      <w:proofErr w:type="spellEnd"/>
      <w:r w:rsidRPr="005C7277">
        <w:t>: Niemcy, Francja, Belgia, Holandia, Luksemburg, Włochy, Austria, Czechy, Dania, Estonia, Finlandia, Grecja, Hiszpania, Islandia, Liechtenstein, Litwa, Łotwa, Malta, Monako, Norwegia, Portugalia, San Marino, Słowacja, Słowenia, Szwajcaria, Szwecja, Węgry, Watykan.</w:t>
      </w:r>
    </w:p>
    <w:p w14:paraId="45E44A3F" w14:textId="77777777" w:rsidR="00AB1DC8" w:rsidRPr="005C7277" w:rsidRDefault="00AB1DC8" w:rsidP="00AB1DC8">
      <w:r w:rsidRPr="005C7277">
        <w:t xml:space="preserve">Państwa, które chcą przystąpić do strefy </w:t>
      </w:r>
      <w:proofErr w:type="spellStart"/>
      <w:r w:rsidRPr="005C7277">
        <w:t>Schengen</w:t>
      </w:r>
      <w:proofErr w:type="spellEnd"/>
      <w:r w:rsidRPr="005C7277">
        <w:t>: Bułgaria, Chorwacja, Cypr, Rumunia.</w:t>
      </w:r>
    </w:p>
    <w:p w14:paraId="3DE41173" w14:textId="77777777" w:rsidR="00AB1DC8" w:rsidRDefault="00AB1DC8" w:rsidP="00AB1DC8">
      <w:r>
        <w:t>Temat: Praca w Polsce i za granicą</w:t>
      </w:r>
    </w:p>
    <w:p w14:paraId="717E2CCF" w14:textId="77777777" w:rsidR="00AB1DC8" w:rsidRDefault="00AB1DC8" w:rsidP="00AB1DC8">
      <w:r>
        <w:t>Czekam na zaległe prace.</w:t>
      </w:r>
    </w:p>
    <w:p w14:paraId="1089FEB5" w14:textId="77777777" w:rsidR="00AB1DC8" w:rsidRDefault="00AB1DC8" w:rsidP="00AB1DC8">
      <w:pPr>
        <w:spacing w:after="0" w:line="240" w:lineRule="auto"/>
      </w:pPr>
      <w:r>
        <w:t>Cele:</w:t>
      </w:r>
    </w:p>
    <w:p w14:paraId="18FD22D3" w14:textId="77777777" w:rsidR="00AB1DC8" w:rsidRDefault="00AB1DC8" w:rsidP="00AB1DC8">
      <w:pPr>
        <w:spacing w:after="0" w:line="240" w:lineRule="auto"/>
        <w:rPr>
          <w:rFonts w:ascii="Calibri" w:eastAsia="Calibri" w:hAnsi="Calibri" w:cs="Times New Roman"/>
        </w:rPr>
      </w:pPr>
      <w:r>
        <w:rPr>
          <w:rFonts w:ascii="Calibri" w:eastAsia="Calibri" w:hAnsi="Calibri" w:cs="Times New Roman"/>
        </w:rPr>
        <w:lastRenderedPageBreak/>
        <w:t xml:space="preserve">- praca młodocianych w Polsce </w:t>
      </w:r>
    </w:p>
    <w:p w14:paraId="422DAD8D" w14:textId="77777777" w:rsidR="00AB1DC8" w:rsidRDefault="00AB1DC8" w:rsidP="00AB1DC8">
      <w:pPr>
        <w:spacing w:after="0" w:line="240" w:lineRule="auto"/>
        <w:rPr>
          <w:rFonts w:ascii="Calibri" w:eastAsia="Calibri" w:hAnsi="Calibri" w:cs="Times New Roman"/>
        </w:rPr>
      </w:pPr>
      <w:r>
        <w:rPr>
          <w:rFonts w:ascii="Calibri" w:eastAsia="Calibri" w:hAnsi="Calibri" w:cs="Times New Roman"/>
        </w:rPr>
        <w:t xml:space="preserve">- </w:t>
      </w:r>
      <w:proofErr w:type="spellStart"/>
      <w:r>
        <w:rPr>
          <w:rFonts w:ascii="Calibri" w:eastAsia="Calibri" w:hAnsi="Calibri" w:cs="Times New Roman"/>
        </w:rPr>
        <w:t>Europass</w:t>
      </w:r>
      <w:proofErr w:type="spellEnd"/>
      <w:r>
        <w:rPr>
          <w:rFonts w:ascii="Calibri" w:eastAsia="Calibri" w:hAnsi="Calibri" w:cs="Times New Roman"/>
        </w:rPr>
        <w:t xml:space="preserve"> </w:t>
      </w:r>
    </w:p>
    <w:p w14:paraId="6D67DD33" w14:textId="77777777" w:rsidR="00AB1DC8" w:rsidRDefault="00AB1DC8" w:rsidP="00AB1DC8">
      <w:pPr>
        <w:spacing w:after="0" w:line="240" w:lineRule="auto"/>
      </w:pPr>
    </w:p>
    <w:p w14:paraId="449DEBB5" w14:textId="77777777" w:rsidR="00AB1DC8" w:rsidRDefault="00AB1DC8" w:rsidP="00AB1DC8">
      <w:pPr>
        <w:pStyle w:val="Akapitzlist"/>
        <w:numPr>
          <w:ilvl w:val="0"/>
          <w:numId w:val="2"/>
        </w:numPr>
        <w:spacing w:after="0" w:line="240" w:lineRule="auto"/>
      </w:pPr>
      <w:r>
        <w:t xml:space="preserve">`W Polsce obowiązuje zakaz podejmowania pracy przez dzieci. Minimalny wiek zatrudnionego wynosi 15 lat. </w:t>
      </w:r>
    </w:p>
    <w:p w14:paraId="79685418" w14:textId="77777777" w:rsidR="00AB1DC8" w:rsidRDefault="00AB1DC8" w:rsidP="00AB1DC8">
      <w:pPr>
        <w:pStyle w:val="Akapitzlist"/>
        <w:numPr>
          <w:ilvl w:val="0"/>
          <w:numId w:val="3"/>
        </w:numPr>
        <w:spacing w:after="0" w:line="240" w:lineRule="auto"/>
      </w:pPr>
      <w:r>
        <w:t>Dziecko to osoba w wieku poniżej 15 lat lub podlegającą obowiązkowi szkolnemu</w:t>
      </w:r>
    </w:p>
    <w:p w14:paraId="326F18A7" w14:textId="77777777" w:rsidR="00AB1DC8" w:rsidRDefault="00AB1DC8" w:rsidP="00AB1DC8">
      <w:pPr>
        <w:pStyle w:val="Akapitzlist"/>
        <w:numPr>
          <w:ilvl w:val="0"/>
          <w:numId w:val="3"/>
        </w:numPr>
        <w:spacing w:after="0" w:line="240" w:lineRule="auto"/>
      </w:pPr>
      <w:r>
        <w:t>Młodociany to człowiek w wieku pomiędzy 15 a 18 lat, który nie jest objęty obowiązkiem szkolnym</w:t>
      </w:r>
    </w:p>
    <w:p w14:paraId="6B1182ED" w14:textId="77777777" w:rsidR="00AB1DC8" w:rsidRDefault="00AB1DC8" w:rsidP="00AB1DC8">
      <w:pPr>
        <w:pStyle w:val="Akapitzlist"/>
        <w:numPr>
          <w:ilvl w:val="0"/>
          <w:numId w:val="2"/>
        </w:numPr>
        <w:spacing w:after="0" w:line="240" w:lineRule="auto"/>
      </w:pPr>
      <w:r>
        <w:t>W Polsce osoby młodociane (te, które ukończyły 15 lat, a nie przekroczyły 18) mogą być zatrudnione na umowy krótkoterminowe lub umowy o pracę, co reguluje Kodeks Pracy. Młodociani mogą wykonywać lekkie prace pod warunkiem, że mają zgodę rodziców, ukończyły gimnazjum, a praca nie zagraża ich zdrowiu.</w:t>
      </w:r>
    </w:p>
    <w:p w14:paraId="19D8AA26" w14:textId="77777777" w:rsidR="00AB1DC8" w:rsidRDefault="00AB1DC8" w:rsidP="00AB1DC8">
      <w:pPr>
        <w:pStyle w:val="Akapitzlist"/>
        <w:numPr>
          <w:ilvl w:val="0"/>
          <w:numId w:val="2"/>
        </w:numPr>
        <w:spacing w:after="0" w:line="240" w:lineRule="auto"/>
      </w:pPr>
      <w:r>
        <w:t>Studenci w Polsce często godzą naukę z pracą. Najczęściej pracują na podstawie umów o dzieło i umów zleceń, rzadziej  - umów o pracę.</w:t>
      </w:r>
    </w:p>
    <w:p w14:paraId="28042496" w14:textId="77777777" w:rsidR="00AB1DC8" w:rsidRDefault="00AB1DC8" w:rsidP="00AB1DC8">
      <w:pPr>
        <w:pStyle w:val="Akapitzlist"/>
        <w:numPr>
          <w:ilvl w:val="0"/>
          <w:numId w:val="2"/>
        </w:numPr>
        <w:spacing w:after="0" w:line="240" w:lineRule="auto"/>
      </w:pPr>
      <w:proofErr w:type="spellStart"/>
      <w:r>
        <w:t>Europass</w:t>
      </w:r>
      <w:proofErr w:type="spellEnd"/>
      <w:r>
        <w:t xml:space="preserve"> - zestaw dokumentów umożliwiających każdemu obywatelowi państwa należącego do UE prezentację swoich umiejętności i kwalifikacji na obszarze całej Europy. W jego skład wchodzą:</w:t>
      </w:r>
    </w:p>
    <w:p w14:paraId="41FC4B7C" w14:textId="77777777" w:rsidR="00AB1DC8" w:rsidRDefault="00AB1DC8" w:rsidP="00AB1DC8">
      <w:pPr>
        <w:pStyle w:val="Akapitzlist"/>
        <w:spacing w:after="0" w:line="240" w:lineRule="auto"/>
      </w:pPr>
      <w:r>
        <w:t>- Mobilność – potwierdza okresy nauki, szkolenia i staże odbyte za granicą</w:t>
      </w:r>
    </w:p>
    <w:p w14:paraId="06E8A858" w14:textId="77777777" w:rsidR="00AB1DC8" w:rsidRDefault="00AB1DC8" w:rsidP="00AB1DC8">
      <w:pPr>
        <w:pStyle w:val="Akapitzlist"/>
        <w:spacing w:after="0" w:line="240" w:lineRule="auto"/>
      </w:pPr>
      <w:r>
        <w:t>- Suplement do dyplomu – opisuje kompetencje uzyskane w trakcie studiów</w:t>
      </w:r>
    </w:p>
    <w:p w14:paraId="268EF8B5" w14:textId="77777777" w:rsidR="00AB1DC8" w:rsidRDefault="00AB1DC8" w:rsidP="00AB1DC8">
      <w:pPr>
        <w:pStyle w:val="Akapitzlist"/>
        <w:spacing w:after="0" w:line="240" w:lineRule="auto"/>
      </w:pPr>
      <w:r>
        <w:t>- Suplement do dyplomu potwierdzającego kwalifikacje w zawodzie – opisuje kwalifikacje zawodowe osób posiadających dyplom ukończenia szkoły zawodowej</w:t>
      </w:r>
    </w:p>
    <w:p w14:paraId="55E80F32" w14:textId="77777777" w:rsidR="00AB1DC8" w:rsidRDefault="00AB1DC8" w:rsidP="00AB1DC8">
      <w:pPr>
        <w:pStyle w:val="Akapitzlist"/>
        <w:spacing w:after="0" w:line="240" w:lineRule="auto"/>
      </w:pPr>
      <w:r>
        <w:t>- CV i Paszport językowy – dokumenty wypełniane samodzielnie na ujednoliconych formularzach</w:t>
      </w:r>
    </w:p>
    <w:p w14:paraId="429BCA07" w14:textId="77777777" w:rsidR="00AB1DC8" w:rsidRDefault="00AB1DC8" w:rsidP="00AB1DC8">
      <w:pPr>
        <w:spacing w:after="0" w:line="240" w:lineRule="auto"/>
      </w:pPr>
      <w:r>
        <w:tab/>
      </w:r>
    </w:p>
    <w:p w14:paraId="6DA258B7" w14:textId="77777777" w:rsidR="00AB1DC8" w:rsidRDefault="00AB1DC8" w:rsidP="00AB1DC8"/>
    <w:p w14:paraId="07A1B520" w14:textId="6397007C" w:rsidR="00AB1DC8" w:rsidRDefault="00AB1DC8"/>
    <w:sectPr w:rsidR="00AB1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2704"/>
    <w:multiLevelType w:val="multilevel"/>
    <w:tmpl w:val="345A2704"/>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1" w15:restartNumberingAfterBreak="0">
    <w:nsid w:val="3E6F5EC0"/>
    <w:multiLevelType w:val="multilevel"/>
    <w:tmpl w:val="3E6F5EC0"/>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5BF91E90"/>
    <w:multiLevelType w:val="hybridMultilevel"/>
    <w:tmpl w:val="0136D0BA"/>
    <w:lvl w:ilvl="0" w:tplc="182E04D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C8"/>
    <w:rsid w:val="00AB1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E26C"/>
  <w15:chartTrackingRefBased/>
  <w15:docId w15:val="{03E5DC8E-EF79-45BF-B201-718F50BE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D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1DC8"/>
    <w:rPr>
      <w:color w:val="0563C1" w:themeColor="hyperlink"/>
      <w:u w:val="single"/>
    </w:rPr>
  </w:style>
  <w:style w:type="paragraph" w:styleId="Akapitzlist">
    <w:name w:val="List Paragraph"/>
    <w:basedOn w:val="Normalny"/>
    <w:uiPriority w:val="34"/>
    <w:qFormat/>
    <w:rsid w:val="00AB1DC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Francja" TargetMode="External"/><Relationship Id="rId13" Type="http://schemas.openxmlformats.org/officeDocument/2006/relationships/hyperlink" Target="http://pl.wikipedia.org/wiki/Scheng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Niemcy_Zachodnie" TargetMode="External"/><Relationship Id="rId12" Type="http://schemas.openxmlformats.org/officeDocument/2006/relationships/hyperlink" Target="http://pl.wikipedia.org/w/index.php?title=Unia_paszportowa&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wikipedia.org/wiki/1985" TargetMode="External"/><Relationship Id="rId1" Type="http://schemas.openxmlformats.org/officeDocument/2006/relationships/numbering" Target="numbering.xml"/><Relationship Id="rId6" Type="http://schemas.openxmlformats.org/officeDocument/2006/relationships/hyperlink" Target="http://pl.wikipedia.org/w/index.php?title=Polityka_azylowa&amp;action=edit&amp;redlink=1" TargetMode="External"/><Relationship Id="rId11" Type="http://schemas.openxmlformats.org/officeDocument/2006/relationships/hyperlink" Target="http://pl.wikipedia.org/wiki/Benelux" TargetMode="External"/><Relationship Id="rId5" Type="http://schemas.openxmlformats.org/officeDocument/2006/relationships/hyperlink" Target="http://pl.wikipedia.org/wiki/Granica_pa%C5%84stwowa" TargetMode="External"/><Relationship Id="rId15" Type="http://schemas.openxmlformats.org/officeDocument/2006/relationships/hyperlink" Target="http://pl.wikipedia.org/wiki/14_czerwca" TargetMode="External"/><Relationship Id="rId10" Type="http://schemas.openxmlformats.org/officeDocument/2006/relationships/hyperlink" Target="http://pl.wikipedia.org/wiki/Obywatelstwo" TargetMode="External"/><Relationship Id="rId4" Type="http://schemas.openxmlformats.org/officeDocument/2006/relationships/webSettings" Target="webSettings.xml"/><Relationship Id="rId9" Type="http://schemas.openxmlformats.org/officeDocument/2006/relationships/hyperlink" Target="http://pl.wikipedia.org/wiki/Saarbr%C3%BCcken" TargetMode="External"/><Relationship Id="rId14" Type="http://schemas.openxmlformats.org/officeDocument/2006/relationships/hyperlink" Target="http://pl.wikipedia.org/wiki/Luksembu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3956</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2020-06-14T17:13:00Z</dcterms:created>
  <dcterms:modified xsi:type="dcterms:W3CDTF">2020-06-14T17:15:00Z</dcterms:modified>
</cp:coreProperties>
</file>