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7" w:rsidRPr="000C3FE5" w:rsidRDefault="000A7647" w:rsidP="000A76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</w:p>
    <w:p w:rsidR="000A7647" w:rsidRDefault="000A7647" w:rsidP="000A7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A7647" w:rsidRPr="000C3FE5" w:rsidRDefault="000A7647" w:rsidP="000A7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 do godz. 16.00.</w:t>
      </w:r>
    </w:p>
    <w:p w:rsidR="000A7647" w:rsidRPr="000C3FE5" w:rsidRDefault="000A7647" w:rsidP="000A76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0A7647" w:rsidRPr="000C3FE5" w:rsidRDefault="000A7647" w:rsidP="000A7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7647" w:rsidRPr="000C3FE5" w:rsidRDefault="000A7647" w:rsidP="000A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0A7647" w:rsidRDefault="000A7647" w:rsidP="00E22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92" w:rsidRPr="00E22E92" w:rsidRDefault="00E22E92" w:rsidP="00E2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9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0A646C" w:rsidRPr="00E22E92">
        <w:rPr>
          <w:rFonts w:ascii="Times New Roman" w:hAnsi="Times New Roman" w:cs="Times New Roman"/>
          <w:b/>
          <w:sz w:val="28"/>
          <w:szCs w:val="28"/>
        </w:rPr>
        <w:t xml:space="preserve">Imperium </w:t>
      </w:r>
      <w:r w:rsidRPr="00E22E92">
        <w:rPr>
          <w:rFonts w:ascii="Times New Roman" w:hAnsi="Times New Roman" w:cs="Times New Roman"/>
          <w:b/>
          <w:sz w:val="28"/>
          <w:szCs w:val="28"/>
        </w:rPr>
        <w:t>mongolskie.</w:t>
      </w:r>
    </w:p>
    <w:p w:rsidR="00E22E92" w:rsidRPr="00E22E92" w:rsidRDefault="00E22E92" w:rsidP="00B40083">
      <w:p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Na podstawie informacji z podręcznika odpowiedz pisemnie na poniższe pytania.</w:t>
      </w:r>
    </w:p>
    <w:p w:rsidR="00B40083" w:rsidRPr="00E22E92" w:rsidRDefault="00B40083" w:rsidP="00E22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Podboje w Azji</w:t>
      </w:r>
      <w:r w:rsidR="00E22E92">
        <w:rPr>
          <w:rFonts w:ascii="Times New Roman" w:hAnsi="Times New Roman" w:cs="Times New Roman"/>
          <w:sz w:val="24"/>
          <w:szCs w:val="24"/>
        </w:rPr>
        <w:t>.</w:t>
      </w:r>
    </w:p>
    <w:p w:rsidR="00E22E92" w:rsidRPr="00E22E92" w:rsidRDefault="00E22E92" w:rsidP="00E22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Jaki kraj Mongołowie podbili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92">
        <w:rPr>
          <w:rFonts w:ascii="Times New Roman" w:hAnsi="Times New Roman" w:cs="Times New Roman"/>
          <w:sz w:val="24"/>
          <w:szCs w:val="24"/>
        </w:rPr>
        <w:t>w pierwszej kolejności?</w:t>
      </w:r>
    </w:p>
    <w:p w:rsidR="00E22E92" w:rsidRPr="00E22E92" w:rsidRDefault="00E22E92" w:rsidP="00E22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Jaki obszar Azji zajęli Mongołowie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92">
        <w:rPr>
          <w:rFonts w:ascii="Times New Roman" w:hAnsi="Times New Roman" w:cs="Times New Roman"/>
          <w:sz w:val="24"/>
          <w:szCs w:val="24"/>
        </w:rPr>
        <w:t>pod rządami Czyngis-chana?</w:t>
      </w:r>
    </w:p>
    <w:p w:rsidR="00E22E92" w:rsidRDefault="00E22E92" w:rsidP="00E22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Z jakiej postawy wobec wrogów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92">
        <w:rPr>
          <w:rFonts w:ascii="Times New Roman" w:hAnsi="Times New Roman" w:cs="Times New Roman"/>
          <w:sz w:val="24"/>
          <w:szCs w:val="24"/>
        </w:rPr>
        <w:t>zasłynęli Mongołowie?</w:t>
      </w:r>
    </w:p>
    <w:p w:rsidR="00E22E92" w:rsidRDefault="00E22E92" w:rsidP="00E22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Jaki rodzaj wojska stanowił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92">
        <w:rPr>
          <w:rFonts w:ascii="Times New Roman" w:hAnsi="Times New Roman" w:cs="Times New Roman"/>
          <w:sz w:val="24"/>
          <w:szCs w:val="24"/>
        </w:rPr>
        <w:t>podstawę mongolskiej armii?</w:t>
      </w:r>
    </w:p>
    <w:p w:rsidR="00E22E92" w:rsidRDefault="00E22E92" w:rsidP="00E22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Z jakiej postawy wobec wrogów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92">
        <w:rPr>
          <w:rFonts w:ascii="Times New Roman" w:hAnsi="Times New Roman" w:cs="Times New Roman"/>
          <w:sz w:val="24"/>
          <w:szCs w:val="24"/>
        </w:rPr>
        <w:t>zasłynęli Mongołowie?</w:t>
      </w:r>
    </w:p>
    <w:p w:rsidR="00E22E92" w:rsidRPr="000A7647" w:rsidRDefault="00E22E92" w:rsidP="000A76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Jakimi obowiązkami obciążono ludność podbitych ziem?</w:t>
      </w:r>
    </w:p>
    <w:p w:rsidR="00E22E92" w:rsidRPr="00E22E92" w:rsidRDefault="00E22E92" w:rsidP="00E22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Inwazja na Europę.</w:t>
      </w:r>
    </w:p>
    <w:p w:rsidR="00E22E92" w:rsidRDefault="00E22E92" w:rsidP="00E22E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Jak nazywano Mongołów w Europie?</w:t>
      </w:r>
    </w:p>
    <w:p w:rsidR="00E22E92" w:rsidRPr="00E22E92" w:rsidRDefault="00E22E92" w:rsidP="00E22E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W którym roku doszło do bitwy nad rzeką Kałką?</w:t>
      </w:r>
    </w:p>
    <w:p w:rsidR="00E22E92" w:rsidRPr="00E22E92" w:rsidRDefault="00E22E92" w:rsidP="00E22E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Kogo pokonali w niej Mongołowie?</w:t>
      </w:r>
    </w:p>
    <w:p w:rsidR="00E22E92" w:rsidRPr="00E22E92" w:rsidRDefault="00E22E92" w:rsidP="00E22E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Kto poprowadził inwazję mongolską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92">
        <w:rPr>
          <w:rFonts w:ascii="Times New Roman" w:hAnsi="Times New Roman" w:cs="Times New Roman"/>
          <w:sz w:val="24"/>
          <w:szCs w:val="24"/>
        </w:rPr>
        <w:t>na Europę w 1235 r.?</w:t>
      </w:r>
    </w:p>
    <w:p w:rsidR="00E22E92" w:rsidRPr="00E22E92" w:rsidRDefault="00E22E92" w:rsidP="00E22E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Jakie ziemie w Europie podporządkowali sobie Mongołowie?</w:t>
      </w:r>
    </w:p>
    <w:p w:rsidR="00345895" w:rsidRPr="000A7647" w:rsidRDefault="00B40083" w:rsidP="000A76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E92">
        <w:rPr>
          <w:rFonts w:ascii="Times New Roman" w:hAnsi="Times New Roman" w:cs="Times New Roman"/>
          <w:sz w:val="24"/>
          <w:szCs w:val="24"/>
        </w:rPr>
        <w:t>Jakie kraje najechali</w:t>
      </w:r>
      <w:r w:rsidR="00E22E92">
        <w:rPr>
          <w:rFonts w:ascii="Times New Roman" w:hAnsi="Times New Roman" w:cs="Times New Roman"/>
          <w:sz w:val="24"/>
          <w:szCs w:val="24"/>
        </w:rPr>
        <w:t xml:space="preserve"> </w:t>
      </w:r>
      <w:r w:rsidRPr="00E22E92">
        <w:rPr>
          <w:rFonts w:ascii="Times New Roman" w:hAnsi="Times New Roman" w:cs="Times New Roman"/>
          <w:sz w:val="24"/>
          <w:szCs w:val="24"/>
        </w:rPr>
        <w:t>Mongołowie w 1241 r.?</w:t>
      </w:r>
    </w:p>
    <w:p w:rsidR="00944FCB" w:rsidRPr="00E22E92" w:rsidRDefault="00944FCB" w:rsidP="00E22E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B1B1F"/>
          <w:sz w:val="24"/>
          <w:szCs w:val="24"/>
        </w:rPr>
      </w:pPr>
      <w:r w:rsidRPr="00E22E92">
        <w:rPr>
          <w:rFonts w:ascii="Times New Roman" w:hAnsi="Times New Roman" w:cs="Times New Roman"/>
          <w:color w:val="1B1B1F"/>
          <w:sz w:val="24"/>
          <w:szCs w:val="24"/>
        </w:rPr>
        <w:t>Zapoznaj się z tekstem, a następnie wykonaj polecenia.</w:t>
      </w:r>
    </w:p>
    <w:p w:rsidR="00944FCB" w:rsidRPr="00E22E92" w:rsidRDefault="00944FCB" w:rsidP="00E22E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B1B1F"/>
          <w:sz w:val="24"/>
          <w:szCs w:val="24"/>
        </w:rPr>
      </w:pP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Zdarzyło się, że w r. 1187 po Wcieleniu Chrystusa Tatarzy wybrali króla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, który w ich mowie nosił nazwę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Czyngis-chan. Był to człek niepowszedni, wielkiej mądrości i wielkiego 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męstwa. Wiedzcie, że gdy został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wybrany królem, wszyscy Tatarzy świata, którzy rozrzuceni byli po tych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 odległych ziemiach, przybywali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doń i uznawali go za zwierzchnika. I sprawował rządy dobrze i szlac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hetnie, z taką sprawiedliwością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i skromnością, jakby nie królem był, ale samym Bogiem, i wszyscy miłowali go i czcili. I cóż wam rzekę?</w:t>
      </w:r>
    </w:p>
    <w:p w:rsidR="00944FCB" w:rsidRPr="00E22E92" w:rsidRDefault="00944FCB" w:rsidP="00E22E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B1B1F"/>
          <w:sz w:val="24"/>
          <w:szCs w:val="24"/>
        </w:rPr>
      </w:pPr>
      <w:r w:rsidRPr="00E22E92">
        <w:rPr>
          <w:rFonts w:ascii="Times New Roman" w:hAnsi="Times New Roman" w:cs="Times New Roman"/>
          <w:color w:val="1B1B1F"/>
          <w:sz w:val="24"/>
          <w:szCs w:val="24"/>
        </w:rPr>
        <w:t xml:space="preserve">[…]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Gdy Czyngis-chan spostrzegł, że ma tak wielki naród, przysposobił</w:t>
      </w:r>
      <w:r w:rsid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 łuki oraz inną broń i wyruszył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na podbój innych ziem. I mówię wam, że w niedługim czasie zdobył o</w:t>
      </w:r>
      <w:r w:rsid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siem krajów. A stało się to tym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łatwiej, że wówczas każda ziemia i prowincja rządzona była przez </w:t>
      </w:r>
      <w:r w:rsid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osobnego króla czy władcę, więc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nie mogli nie będąc zjednoczeni oprzeć się takiej przemocy. Podbiwszy lu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dy, nie czynił im nic złego ani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nie obrabowywał, lecz ustanawiał swego namiestnika i kilku starszy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ch z podbitego ludu i w różnych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miejscowościach osadzał swoich ludzi, zaś miejscowy lud zabierał z sobą na podbój dalszych narodów.</w:t>
      </w:r>
    </w:p>
    <w:p w:rsidR="00944FCB" w:rsidRPr="00E22E92" w:rsidRDefault="00944FCB" w:rsidP="00E22E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B1B1F"/>
          <w:sz w:val="24"/>
          <w:szCs w:val="24"/>
        </w:rPr>
      </w:pPr>
      <w:r w:rsidRPr="00E22E92">
        <w:rPr>
          <w:rFonts w:ascii="Times New Roman" w:hAnsi="Times New Roman" w:cs="Times New Roman"/>
          <w:color w:val="1B1B1F"/>
          <w:sz w:val="24"/>
          <w:szCs w:val="24"/>
        </w:rPr>
        <w:t xml:space="preserve">[…]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Zaś narody, widząc dobre rządy i wielkoduszność tego władcy, do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browolnie mu się poddawały. Gdy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Czyngis-chan zebrał takie mnóstwo ludów, że mogłyby całą ziemię po</w:t>
      </w:r>
      <w:r w:rsidR="00E22E92"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 xml:space="preserve">kryć, postanowił zdobyć większą </w:t>
      </w:r>
      <w:r w:rsidRPr="00E22E92">
        <w:rPr>
          <w:rFonts w:ascii="Times New Roman" w:hAnsi="Times New Roman" w:cs="Times New Roman"/>
          <w:i/>
          <w:iCs/>
          <w:color w:val="1B1B1F"/>
          <w:sz w:val="24"/>
          <w:szCs w:val="24"/>
        </w:rPr>
        <w:t>część świata, a nawet cały świat.</w:t>
      </w:r>
    </w:p>
    <w:p w:rsidR="00944FCB" w:rsidRPr="00E22E92" w:rsidRDefault="00944FCB" w:rsidP="00E22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B1B1F"/>
          <w:sz w:val="16"/>
          <w:szCs w:val="16"/>
        </w:rPr>
      </w:pPr>
      <w:r w:rsidRPr="00E22E92">
        <w:rPr>
          <w:rFonts w:ascii="Times New Roman" w:hAnsi="Times New Roman" w:cs="Times New Roman"/>
          <w:color w:val="1B1B1F"/>
          <w:sz w:val="16"/>
          <w:szCs w:val="16"/>
        </w:rPr>
        <w:t xml:space="preserve">Źródło: </w:t>
      </w:r>
      <w:r w:rsidRPr="00E22E92">
        <w:rPr>
          <w:rFonts w:ascii="Times New Roman" w:hAnsi="Times New Roman" w:cs="Times New Roman"/>
          <w:i/>
          <w:iCs/>
          <w:color w:val="1B1B1F"/>
          <w:sz w:val="16"/>
          <w:szCs w:val="16"/>
        </w:rPr>
        <w:t>Wiek V–XV w źródłach</w:t>
      </w:r>
      <w:r w:rsidRPr="00E22E92">
        <w:rPr>
          <w:rFonts w:ascii="Times New Roman" w:hAnsi="Times New Roman" w:cs="Times New Roman"/>
          <w:color w:val="1B1B1F"/>
          <w:sz w:val="16"/>
          <w:szCs w:val="16"/>
        </w:rPr>
        <w:t>, oprac. M. Sobańska-</w:t>
      </w:r>
      <w:proofErr w:type="spellStart"/>
      <w:r w:rsidRPr="00E22E92">
        <w:rPr>
          <w:rFonts w:ascii="Times New Roman" w:hAnsi="Times New Roman" w:cs="Times New Roman"/>
          <w:color w:val="1B1B1F"/>
          <w:sz w:val="16"/>
          <w:szCs w:val="16"/>
        </w:rPr>
        <w:t>Bondaruk</w:t>
      </w:r>
      <w:proofErr w:type="spellEnd"/>
      <w:r w:rsidRPr="00E22E92">
        <w:rPr>
          <w:rFonts w:ascii="Times New Roman" w:hAnsi="Times New Roman" w:cs="Times New Roman"/>
          <w:color w:val="1B1B1F"/>
          <w:sz w:val="16"/>
          <w:szCs w:val="16"/>
        </w:rPr>
        <w:t xml:space="preserve">, S. B. </w:t>
      </w:r>
      <w:proofErr w:type="spellStart"/>
      <w:r w:rsidRPr="00E22E92">
        <w:rPr>
          <w:rFonts w:ascii="Times New Roman" w:hAnsi="Times New Roman" w:cs="Times New Roman"/>
          <w:color w:val="1B1B1F"/>
          <w:sz w:val="16"/>
          <w:szCs w:val="16"/>
        </w:rPr>
        <w:t>Lenard</w:t>
      </w:r>
      <w:proofErr w:type="spellEnd"/>
      <w:r w:rsidRPr="00E22E92">
        <w:rPr>
          <w:rFonts w:ascii="Times New Roman" w:hAnsi="Times New Roman" w:cs="Times New Roman"/>
          <w:color w:val="1B1B1F"/>
          <w:sz w:val="16"/>
          <w:szCs w:val="16"/>
        </w:rPr>
        <w:t>, Warszawa 2003, s. 200–201.</w:t>
      </w:r>
    </w:p>
    <w:p w:rsidR="00944FCB" w:rsidRPr="00345895" w:rsidRDefault="00944FCB" w:rsidP="00345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5895">
        <w:rPr>
          <w:rFonts w:ascii="Times New Roman" w:hAnsi="Times New Roman" w:cs="Times New Roman"/>
          <w:b/>
          <w:bCs/>
        </w:rPr>
        <w:t xml:space="preserve">a) </w:t>
      </w:r>
      <w:r w:rsidRPr="00345895">
        <w:rPr>
          <w:rFonts w:ascii="Times New Roman" w:hAnsi="Times New Roman" w:cs="Times New Roman"/>
        </w:rPr>
        <w:t>Wymień cechy charakteru, które przypisuje Czyngis-chanowi autor przytoczonej relacji.</w:t>
      </w:r>
    </w:p>
    <w:p w:rsidR="00944FCB" w:rsidRPr="00345895" w:rsidRDefault="00944FCB" w:rsidP="00345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5895">
        <w:rPr>
          <w:rFonts w:ascii="Times New Roman" w:hAnsi="Times New Roman" w:cs="Times New Roman"/>
          <w:b/>
          <w:bCs/>
        </w:rPr>
        <w:t xml:space="preserve">b) </w:t>
      </w:r>
      <w:r w:rsidRPr="00345895">
        <w:rPr>
          <w:rFonts w:ascii="Times New Roman" w:hAnsi="Times New Roman" w:cs="Times New Roman"/>
        </w:rPr>
        <w:t>Podaj, jakie czynniki miały – według autora – sprzyjać poszerzaniu imperium Czyngis-chana.</w:t>
      </w:r>
    </w:p>
    <w:p w:rsidR="00944FCB" w:rsidRPr="00E22E92" w:rsidRDefault="00944FCB" w:rsidP="00345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B1B1F"/>
        </w:rPr>
      </w:pPr>
      <w:r w:rsidRPr="00345895">
        <w:rPr>
          <w:rFonts w:ascii="Times New Roman" w:hAnsi="Times New Roman" w:cs="Times New Roman"/>
          <w:b/>
          <w:bCs/>
        </w:rPr>
        <w:t xml:space="preserve">c) </w:t>
      </w:r>
      <w:r w:rsidRPr="00E22E92">
        <w:rPr>
          <w:rFonts w:ascii="Times New Roman" w:hAnsi="Times New Roman" w:cs="Times New Roman"/>
          <w:color w:val="1B1B1F"/>
        </w:rPr>
        <w:t>Porównaj przytoczoną relację z informacjami z podręcznika i oceń jej wiarygodność.</w:t>
      </w:r>
    </w:p>
    <w:p w:rsidR="00944FCB" w:rsidRPr="00E22E92" w:rsidRDefault="00944FCB" w:rsidP="00944FCB">
      <w:pPr>
        <w:rPr>
          <w:rFonts w:ascii="Times New Roman" w:hAnsi="Times New Roman" w:cs="Times New Roman"/>
          <w:sz w:val="18"/>
          <w:szCs w:val="18"/>
        </w:rPr>
      </w:pPr>
      <w:r w:rsidRPr="00E22E92">
        <w:rPr>
          <w:rFonts w:ascii="Times New Roman" w:hAnsi="Times New Roman" w:cs="Times New Roman"/>
          <w:color w:val="FFFFFF"/>
          <w:sz w:val="24"/>
          <w:szCs w:val="24"/>
        </w:rPr>
        <w:lastRenderedPageBreak/>
        <w:t>118</w:t>
      </w:r>
    </w:p>
    <w:p w:rsidR="00944FCB" w:rsidRPr="00E22E92" w:rsidRDefault="00944FCB">
      <w:pPr>
        <w:rPr>
          <w:rFonts w:ascii="Times New Roman" w:hAnsi="Times New Roman" w:cs="Times New Roman"/>
          <w:sz w:val="18"/>
          <w:szCs w:val="18"/>
        </w:rPr>
      </w:pPr>
    </w:p>
    <w:p w:rsidR="000A646C" w:rsidRDefault="00345895">
      <w:pPr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0A646C" w:rsidRPr="00345895">
        <w:rPr>
          <w:rFonts w:ascii="Times New Roman" w:hAnsi="Times New Roman" w:cs="Times New Roman"/>
          <w:b/>
          <w:sz w:val="28"/>
          <w:szCs w:val="28"/>
        </w:rPr>
        <w:t>Narodziny monarchii stanowej. Gospodarka średniowiecznej Europy</w:t>
      </w:r>
      <w:r w:rsidRPr="00345895">
        <w:rPr>
          <w:rFonts w:ascii="Times New Roman" w:hAnsi="Times New Roman" w:cs="Times New Roman"/>
          <w:b/>
          <w:sz w:val="28"/>
          <w:szCs w:val="28"/>
        </w:rPr>
        <w:t>.</w:t>
      </w:r>
    </w:p>
    <w:p w:rsidR="005C687F" w:rsidRDefault="005C687F" w:rsidP="005C6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CBEE96" wp14:editId="3031863E">
            <wp:extent cx="4371975" cy="4467966"/>
            <wp:effectExtent l="0" t="0" r="0" b="8890"/>
            <wp:docPr id="3" name="Obraz 3" descr="Powtarzamy feudalizm | Ale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tarzamy feudalizm | AleKl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46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7F" w:rsidRPr="005C687F" w:rsidRDefault="005C6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687F">
        <w:rPr>
          <w:rFonts w:ascii="Times New Roman" w:hAnsi="Times New Roman" w:cs="Times New Roman"/>
          <w:sz w:val="28"/>
          <w:szCs w:val="28"/>
          <w:u w:val="single"/>
        </w:rPr>
        <w:t>Notatka: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I. Geneza </w:t>
      </w:r>
      <w:hyperlink r:id="rId8" w:tgtFrame="_blank" w:history="1">
        <w:r w:rsidRPr="005C687F">
          <w:rPr>
            <w:rStyle w:val="Pogrubienie"/>
            <w:sz w:val="22"/>
            <w:szCs w:val="22"/>
          </w:rPr>
          <w:t>monarchii stanowych</w:t>
        </w:r>
      </w:hyperlink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1. Przemiany społeczne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a. upowszechnienie się </w:t>
      </w:r>
      <w:hyperlink r:id="rId9" w:tgtFrame="_blank" w:history="1">
        <w:r w:rsidRPr="005C687F">
          <w:rPr>
            <w:rStyle w:val="Hipercze"/>
            <w:b/>
            <w:bCs/>
            <w:color w:val="auto"/>
            <w:sz w:val="22"/>
            <w:szCs w:val="22"/>
            <w:u w:val="none"/>
          </w:rPr>
          <w:t>systemu lennego</w:t>
        </w:r>
      </w:hyperlink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wzajemne relacje określała dwustronna umowa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– udział </w:t>
      </w:r>
      <w:hyperlink r:id="rId10" w:tgtFrame="_blank" w:history="1">
        <w:r w:rsidRPr="005C687F">
          <w:rPr>
            <w:rStyle w:val="Pogrubienie"/>
            <w:sz w:val="22"/>
            <w:szCs w:val="22"/>
          </w:rPr>
          <w:t>wasali</w:t>
        </w:r>
        <w:r w:rsidRPr="005C687F">
          <w:rPr>
            <w:rStyle w:val="Hipercze"/>
            <w:color w:val="auto"/>
            <w:sz w:val="22"/>
            <w:szCs w:val="22"/>
            <w:u w:val="none"/>
          </w:rPr>
          <w:t xml:space="preserve"> </w:t>
        </w:r>
      </w:hyperlink>
      <w:r w:rsidRPr="005C687F">
        <w:rPr>
          <w:sz w:val="22"/>
          <w:szCs w:val="22"/>
        </w:rPr>
        <w:t>w rozstrzyganiu sporów – ławnicy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b. koncepcja ustanowionego przez  Boga modelu społeczeństwa podzielonego na trzy grupy: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wojowników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duchownych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pracujących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2. Podstawowe cechy społeczeństwa stanowego: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a. odrębny system prawny każdego stanu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b. odrębne sądownictwo dla każdego stanu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c. samorząd stanowy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d. dziedziczna przynależność do stanu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nie dotyczyła duchowieństwa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– </w:t>
      </w:r>
      <w:hyperlink r:id="rId11" w:tgtFrame="_blank" w:history="1">
        <w:r w:rsidRPr="005C687F">
          <w:rPr>
            <w:rStyle w:val="Hipercze"/>
            <w:color w:val="auto"/>
            <w:sz w:val="22"/>
            <w:szCs w:val="22"/>
            <w:u w:val="none"/>
          </w:rPr>
          <w:t>nobilitacja</w:t>
        </w:r>
      </w:hyperlink>
      <w:r w:rsidRPr="005C687F">
        <w:rPr>
          <w:sz w:val="22"/>
          <w:szCs w:val="22"/>
        </w:rPr>
        <w:t xml:space="preserve"> – nadanie szlachectwa osobie niższego stanu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3. Kształtowanie się </w:t>
      </w:r>
      <w:hyperlink r:id="rId12" w:tgtFrame="_blank" w:history="1">
        <w:r w:rsidRPr="005C687F">
          <w:rPr>
            <w:rStyle w:val="Hipercze"/>
            <w:b/>
            <w:bCs/>
            <w:color w:val="auto"/>
            <w:sz w:val="22"/>
            <w:szCs w:val="22"/>
            <w:u w:val="none"/>
          </w:rPr>
          <w:t>stanów</w:t>
        </w:r>
      </w:hyperlink>
      <w:r w:rsidRPr="005C687F">
        <w:rPr>
          <w:sz w:val="22"/>
          <w:szCs w:val="22"/>
        </w:rPr>
        <w:t>: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lastRenderedPageBreak/>
        <w:t xml:space="preserve">a. </w:t>
      </w:r>
      <w:r w:rsidRPr="005C687F">
        <w:rPr>
          <w:rStyle w:val="Pogrubienie"/>
          <w:sz w:val="22"/>
          <w:szCs w:val="22"/>
        </w:rPr>
        <w:t>duchownego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b. </w:t>
      </w:r>
      <w:r w:rsidRPr="005C687F">
        <w:rPr>
          <w:rStyle w:val="Pogrubienie"/>
          <w:sz w:val="22"/>
          <w:szCs w:val="22"/>
        </w:rPr>
        <w:t>rycerskiego</w:t>
      </w:r>
      <w:r w:rsidRPr="005C687F">
        <w:rPr>
          <w:sz w:val="22"/>
          <w:szCs w:val="22"/>
        </w:rPr>
        <w:t xml:space="preserve"> (później szlacheckiego)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c. </w:t>
      </w:r>
      <w:r w:rsidRPr="005C687F">
        <w:rPr>
          <w:rStyle w:val="Pogrubienie"/>
          <w:sz w:val="22"/>
          <w:szCs w:val="22"/>
        </w:rPr>
        <w:t>mieszczańskiego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d. </w:t>
      </w:r>
      <w:r w:rsidRPr="005C687F">
        <w:rPr>
          <w:rStyle w:val="Pogrubienie"/>
          <w:sz w:val="22"/>
          <w:szCs w:val="22"/>
        </w:rPr>
        <w:t>chłopskiego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4. Nadawanie przez władców </w:t>
      </w:r>
      <w:r w:rsidRPr="005C687F">
        <w:rPr>
          <w:rStyle w:val="Pogrubienie"/>
          <w:sz w:val="22"/>
          <w:szCs w:val="22"/>
        </w:rPr>
        <w:t>przywilejów generalnych</w:t>
      </w:r>
      <w:r w:rsidRPr="005C687F">
        <w:rPr>
          <w:sz w:val="22"/>
          <w:szCs w:val="22"/>
        </w:rPr>
        <w:t xml:space="preserve"> – pierwszym była Wielka Karta </w:t>
      </w:r>
      <w:proofErr w:type="spellStart"/>
      <w:r w:rsidRPr="005C687F">
        <w:rPr>
          <w:sz w:val="22"/>
          <w:szCs w:val="22"/>
        </w:rPr>
        <w:t>Leónu</w:t>
      </w:r>
      <w:proofErr w:type="spellEnd"/>
      <w:r w:rsidRPr="005C687F">
        <w:rPr>
          <w:sz w:val="22"/>
          <w:szCs w:val="22"/>
        </w:rPr>
        <w:t xml:space="preserve"> Alfonsa I (1188 r.)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5. Kształtowanie ideowych podstaw dla udziału poddanych we współrządzeniu państwie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a. nawiązanie do zasady prawa rzymskiego: „co wszystkich dotyczy, przez wszystkich powinno zostać rozpatrzone i przyjęte”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b. </w:t>
      </w:r>
      <w:proofErr w:type="spellStart"/>
      <w:r w:rsidRPr="005C687F">
        <w:rPr>
          <w:sz w:val="22"/>
          <w:szCs w:val="22"/>
        </w:rPr>
        <w:t>Marsyliusz</w:t>
      </w:r>
      <w:proofErr w:type="spellEnd"/>
      <w:r w:rsidRPr="005C687F">
        <w:rPr>
          <w:sz w:val="22"/>
          <w:szCs w:val="22"/>
        </w:rPr>
        <w:t xml:space="preserve"> z Padwy – sformułował pogląd, że każde prawo powinno być tworzone przez reprezentację społeczeństwa i zgodnie z wolą ludu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6. </w:t>
      </w:r>
      <w:r w:rsidRPr="005C687F">
        <w:rPr>
          <w:rStyle w:val="Pogrubienie"/>
          <w:sz w:val="22"/>
          <w:szCs w:val="22"/>
        </w:rPr>
        <w:t>Monarchia stanowa</w:t>
      </w:r>
      <w:r w:rsidRPr="005C687F">
        <w:rPr>
          <w:sz w:val="22"/>
          <w:szCs w:val="22"/>
        </w:rPr>
        <w:t xml:space="preserve"> – państwo, w którym władza monarchy jest ograniczona przez reprezentację stanu szlacheckiego, duchownego oraz mieszczaństwo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II. Monarchia stanowa w Anglii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1. Osłabienie pozycji monarchii za panowania pierwszych władców z dynastii </w:t>
      </w:r>
      <w:hyperlink r:id="rId13" w:tgtFrame="_blank" w:history="1">
        <w:r w:rsidRPr="005C687F">
          <w:rPr>
            <w:rStyle w:val="Hipercze"/>
            <w:b/>
            <w:bCs/>
            <w:color w:val="auto"/>
            <w:sz w:val="22"/>
            <w:szCs w:val="22"/>
            <w:u w:val="none"/>
          </w:rPr>
          <w:t>Plantagenetów</w:t>
        </w:r>
      </w:hyperlink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a. konflikt Henryka II z arcybiskupem Canterbury </w:t>
      </w:r>
      <w:hyperlink r:id="rId14" w:tgtFrame="_blank" w:history="1">
        <w:r w:rsidRPr="005C687F">
          <w:rPr>
            <w:rStyle w:val="Pogrubienie"/>
            <w:sz w:val="22"/>
            <w:szCs w:val="22"/>
          </w:rPr>
          <w:t>Tomaszem Becketem</w:t>
        </w:r>
      </w:hyperlink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powodem próba ograniczenia kompetencji duchownych i obciążenia ich podatkami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męczeńska śmierć Tomasza Becketa – 1170 r.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– przyznanie zmuszony był przyznać duchowieństwu </w:t>
      </w:r>
      <w:hyperlink r:id="rId15" w:tgtFrame="_blank" w:history="1">
        <w:r w:rsidRPr="005C687F">
          <w:rPr>
            <w:rStyle w:val="Pogrubienie"/>
            <w:sz w:val="22"/>
            <w:szCs w:val="22"/>
          </w:rPr>
          <w:t>immunitety</w:t>
        </w:r>
      </w:hyperlink>
      <w:r w:rsidRPr="005C687F">
        <w:rPr>
          <w:sz w:val="22"/>
          <w:szCs w:val="22"/>
        </w:rPr>
        <w:t xml:space="preserve"> sądowy i skarbowy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b. nasilenie się konfliktu za panowania </w:t>
      </w:r>
      <w:hyperlink r:id="rId16" w:tgtFrame="_blank" w:history="1">
        <w:r w:rsidRPr="005C687F">
          <w:rPr>
            <w:rStyle w:val="Pogrubienie"/>
            <w:sz w:val="22"/>
            <w:szCs w:val="22"/>
          </w:rPr>
          <w:t>Ryszarda Lwie Serce</w:t>
        </w:r>
      </w:hyperlink>
      <w:r w:rsidR="00B659AD">
        <w:rPr>
          <w:sz w:val="22"/>
          <w:szCs w:val="22"/>
        </w:rPr>
        <w:t xml:space="preserve"> (1189-1199 </w:t>
      </w:r>
      <w:r w:rsidRPr="005C687F">
        <w:rPr>
          <w:sz w:val="22"/>
          <w:szCs w:val="22"/>
        </w:rPr>
        <w:t xml:space="preserve">) i </w:t>
      </w:r>
      <w:hyperlink r:id="rId17" w:tgtFrame="_blank" w:history="1">
        <w:r w:rsidRPr="005C687F">
          <w:rPr>
            <w:rStyle w:val="Pogrubienie"/>
            <w:sz w:val="22"/>
            <w:szCs w:val="22"/>
          </w:rPr>
          <w:t>Jana bez Ziemi</w:t>
        </w:r>
      </w:hyperlink>
      <w:r w:rsidRPr="005C687F">
        <w:rPr>
          <w:sz w:val="22"/>
          <w:szCs w:val="22"/>
        </w:rPr>
        <w:t xml:space="preserve"> (1</w:t>
      </w:r>
      <w:r w:rsidR="00B659AD">
        <w:rPr>
          <w:sz w:val="22"/>
          <w:szCs w:val="22"/>
        </w:rPr>
        <w:t>199-1216</w:t>
      </w:r>
      <w:r w:rsidRPr="005C687F">
        <w:rPr>
          <w:sz w:val="22"/>
          <w:szCs w:val="22"/>
        </w:rPr>
        <w:t>)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c. ogłoszenie przez Jana bez Ziemi </w:t>
      </w:r>
      <w:hyperlink r:id="rId18" w:tgtFrame="_blank" w:history="1">
        <w:r w:rsidRPr="005C687F">
          <w:rPr>
            <w:rStyle w:val="Pogrubienie"/>
            <w:sz w:val="22"/>
            <w:szCs w:val="22"/>
          </w:rPr>
          <w:t>Wielkiej Karty Swobód</w:t>
        </w:r>
      </w:hyperlink>
      <w:r w:rsidRPr="005C687F">
        <w:rPr>
          <w:sz w:val="22"/>
          <w:szCs w:val="22"/>
        </w:rPr>
        <w:t xml:space="preserve"> (</w:t>
      </w:r>
      <w:proofErr w:type="spellStart"/>
      <w:r w:rsidRPr="005C687F">
        <w:rPr>
          <w:rStyle w:val="Pogrubienie"/>
          <w:i/>
          <w:iCs/>
          <w:sz w:val="22"/>
          <w:szCs w:val="22"/>
        </w:rPr>
        <w:t>Magna</w:t>
      </w:r>
      <w:proofErr w:type="spellEnd"/>
      <w:r w:rsidRPr="005C687F">
        <w:rPr>
          <w:rStyle w:val="Pogrubienie"/>
          <w:i/>
          <w:iCs/>
          <w:sz w:val="22"/>
          <w:szCs w:val="22"/>
        </w:rPr>
        <w:t xml:space="preserve"> Charta </w:t>
      </w:r>
      <w:proofErr w:type="spellStart"/>
      <w:r w:rsidRPr="005C687F">
        <w:rPr>
          <w:rStyle w:val="Pogrubienie"/>
          <w:i/>
          <w:iCs/>
          <w:sz w:val="22"/>
          <w:szCs w:val="22"/>
        </w:rPr>
        <w:t>Libetatum</w:t>
      </w:r>
      <w:proofErr w:type="spellEnd"/>
      <w:r w:rsidRPr="005C687F">
        <w:rPr>
          <w:sz w:val="22"/>
          <w:szCs w:val="22"/>
        </w:rPr>
        <w:t xml:space="preserve">) – </w:t>
      </w:r>
      <w:r w:rsidRPr="005C687F">
        <w:rPr>
          <w:rStyle w:val="Pogrubienie"/>
          <w:sz w:val="22"/>
          <w:szCs w:val="22"/>
        </w:rPr>
        <w:t>1215 r.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ograniczenie władzy króla w sferze sądowej i skarbowej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gwarantem przestrzegania Wielkiej Karty Swobód komisja złożona z 25 baronów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prawo do wypowiedzenia posłuszeństwa królowi w przypadku łamania przez niego postanowień Wielkiej Karty Swobód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2. Powstanie </w:t>
      </w:r>
      <w:r w:rsidRPr="005C687F">
        <w:rPr>
          <w:rStyle w:val="Pogrubienie"/>
          <w:sz w:val="22"/>
          <w:szCs w:val="22"/>
        </w:rPr>
        <w:t>parlamentu angielskiego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a. wojna domowa za panowania </w:t>
      </w:r>
      <w:r w:rsidRPr="005C687F">
        <w:rPr>
          <w:rStyle w:val="Pogrubienie"/>
          <w:sz w:val="22"/>
          <w:szCs w:val="22"/>
        </w:rPr>
        <w:t>Henryka III</w:t>
      </w:r>
      <w:r w:rsidRPr="005C687F">
        <w:rPr>
          <w:sz w:val="22"/>
          <w:szCs w:val="22"/>
        </w:rPr>
        <w:t xml:space="preserve"> (1216-1272 r.) spowodowana łamaniem przez niego Wielkiej Karty Swobód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b. zwołanie pierwszego parlamentu przez przywódcę opozycji </w:t>
      </w:r>
      <w:r w:rsidRPr="005C687F">
        <w:rPr>
          <w:rStyle w:val="Pogrubienie"/>
          <w:sz w:val="22"/>
          <w:szCs w:val="22"/>
        </w:rPr>
        <w:t xml:space="preserve">Szymona de </w:t>
      </w:r>
      <w:proofErr w:type="spellStart"/>
      <w:r w:rsidRPr="005C687F">
        <w:rPr>
          <w:rStyle w:val="Pogrubienie"/>
          <w:sz w:val="22"/>
          <w:szCs w:val="22"/>
        </w:rPr>
        <w:t>Montford</w:t>
      </w:r>
      <w:proofErr w:type="spellEnd"/>
      <w:r w:rsidRPr="005C687F">
        <w:rPr>
          <w:sz w:val="22"/>
          <w:szCs w:val="22"/>
        </w:rPr>
        <w:t xml:space="preserve"> – </w:t>
      </w:r>
      <w:r w:rsidRPr="005C687F">
        <w:rPr>
          <w:rStyle w:val="Pogrubienie"/>
          <w:sz w:val="22"/>
          <w:szCs w:val="22"/>
        </w:rPr>
        <w:t>1264 r.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c. zwołanie przez króla Edwarda I tzw.</w:t>
      </w:r>
      <w:r w:rsidRPr="005C687F">
        <w:rPr>
          <w:rStyle w:val="Pogrubienie"/>
          <w:sz w:val="22"/>
          <w:szCs w:val="22"/>
        </w:rPr>
        <w:t xml:space="preserve"> parlamentu wzorcowego – 1295 r.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d. skład parlamentu angielskiego: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– </w:t>
      </w:r>
      <w:r w:rsidRPr="005C687F">
        <w:rPr>
          <w:rStyle w:val="Pogrubienie"/>
          <w:sz w:val="22"/>
          <w:szCs w:val="22"/>
        </w:rPr>
        <w:t>Izba Lordów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– </w:t>
      </w:r>
      <w:r w:rsidRPr="005C687F">
        <w:rPr>
          <w:rStyle w:val="Pogrubienie"/>
          <w:sz w:val="22"/>
          <w:szCs w:val="22"/>
        </w:rPr>
        <w:t>Izba Gmin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III. Powstanie </w:t>
      </w:r>
      <w:hyperlink r:id="rId19" w:tgtFrame="_blank" w:history="1">
        <w:r w:rsidRPr="005C687F">
          <w:rPr>
            <w:rStyle w:val="Pogrubienie"/>
            <w:sz w:val="22"/>
            <w:szCs w:val="22"/>
          </w:rPr>
          <w:t>Stanów Generalnych</w:t>
        </w:r>
      </w:hyperlink>
      <w:r w:rsidRPr="005C687F">
        <w:rPr>
          <w:sz w:val="22"/>
          <w:szCs w:val="22"/>
        </w:rPr>
        <w:t xml:space="preserve"> we Francji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1. Likwidacja rozbicia feudalnego i dążenie do zjednoczenia Francji w XII-XV w.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2. Reformy </w:t>
      </w:r>
      <w:hyperlink r:id="rId20" w:tgtFrame="_blank" w:history="1">
        <w:r w:rsidRPr="005C687F">
          <w:rPr>
            <w:rStyle w:val="Pogrubienie"/>
            <w:sz w:val="22"/>
            <w:szCs w:val="22"/>
          </w:rPr>
          <w:t>Ludwika IX Świętego</w:t>
        </w:r>
      </w:hyperlink>
      <w:r w:rsidRPr="005C687F">
        <w:rPr>
          <w:sz w:val="22"/>
          <w:szCs w:val="22"/>
        </w:rPr>
        <w:t xml:space="preserve"> (1226-1270 r.)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a. przeprowadzenie reformy administracyjnej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b. wprowadzenie zakazu wojen prywatnych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c. powołanie rady królewskiej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3. Reformy </w:t>
      </w:r>
      <w:hyperlink r:id="rId21" w:tgtFrame="_blank" w:history="1">
        <w:r w:rsidRPr="005C687F">
          <w:rPr>
            <w:rStyle w:val="Pogrubienie"/>
            <w:sz w:val="22"/>
            <w:szCs w:val="22"/>
          </w:rPr>
          <w:t>Filipa IV Pięknego</w:t>
        </w:r>
      </w:hyperlink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a. prowadzenie kosztowych wojen z Anglią i Flandrią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b. ogłoszenie </w:t>
      </w:r>
      <w:r w:rsidRPr="005C687F">
        <w:rPr>
          <w:rStyle w:val="Pogrubienie"/>
          <w:sz w:val="22"/>
          <w:szCs w:val="22"/>
        </w:rPr>
        <w:t>zasady suwerenności monarchii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władca nie podlega władzy ani cesarza ani papieża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władca posiada prawo nakładania podatków na swoich poddanych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4. konflikt z papieżem </w:t>
      </w:r>
      <w:hyperlink r:id="rId22" w:tgtFrame="_blank" w:history="1">
        <w:r w:rsidRPr="005C687F">
          <w:rPr>
            <w:rStyle w:val="Pogrubienie"/>
            <w:sz w:val="22"/>
            <w:szCs w:val="22"/>
          </w:rPr>
          <w:t>Bonifacym VIII</w:t>
        </w:r>
      </w:hyperlink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 xml:space="preserve">5. Zwołanie przez Filipa IV Pięknego Sanów Generalnych w celu uzyskania poparcia społecznego – </w:t>
      </w:r>
      <w:r w:rsidRPr="005C687F">
        <w:rPr>
          <w:rStyle w:val="Pogrubienie"/>
          <w:sz w:val="22"/>
          <w:szCs w:val="22"/>
        </w:rPr>
        <w:t>1302 r.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a. skład Stanów Generalnych: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stan szlachecki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stan duchowny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stan trzeci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lastRenderedPageBreak/>
        <w:t>b. kompetencje Stanów Generalnych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uchwalenie podatków</w:t>
      </w:r>
    </w:p>
    <w:p w:rsidR="005C687F" w:rsidRPr="005C687F" w:rsidRDefault="005C687F" w:rsidP="005C687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przedstawianie monarsze skarg i zażaleń</w:t>
      </w:r>
    </w:p>
    <w:p w:rsidR="005C687F" w:rsidRPr="00B659AD" w:rsidRDefault="005C687F" w:rsidP="00B659AD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C687F">
        <w:rPr>
          <w:sz w:val="22"/>
          <w:szCs w:val="22"/>
        </w:rPr>
        <w:t>– wybór króla w przypadku wygaśnięcia dynastii</w:t>
      </w:r>
    </w:p>
    <w:sectPr w:rsidR="005C687F" w:rsidRPr="00B659AD" w:rsidSect="003458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13F"/>
    <w:multiLevelType w:val="hybridMultilevel"/>
    <w:tmpl w:val="CB425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30C"/>
    <w:multiLevelType w:val="hybridMultilevel"/>
    <w:tmpl w:val="0172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35F1"/>
    <w:multiLevelType w:val="hybridMultilevel"/>
    <w:tmpl w:val="E36EA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39"/>
    <w:rsid w:val="000A646C"/>
    <w:rsid w:val="000A7647"/>
    <w:rsid w:val="00345895"/>
    <w:rsid w:val="005C687F"/>
    <w:rsid w:val="00944FCB"/>
    <w:rsid w:val="00B40083"/>
    <w:rsid w:val="00B659AD"/>
    <w:rsid w:val="00C94D39"/>
    <w:rsid w:val="00E22E92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2E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87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2E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87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1872-monarchia-stanowa" TargetMode="External"/><Relationship Id="rId13" Type="http://schemas.openxmlformats.org/officeDocument/2006/relationships/hyperlink" Target="https://www.e-historia.com.pl/70-katalog-nazw/1967-plantageneci" TargetMode="External"/><Relationship Id="rId18" Type="http://schemas.openxmlformats.org/officeDocument/2006/relationships/hyperlink" Target="https://www.e-historia.com.pl/70-katalog-nazw/1965-wielka-karta-swobod-magna-charta-libertatu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-historia.com.pl/69-galeria-postaci-historycznych/1919-filip-iv-piekn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-historia.com.pl/68-podreczny-slowniczek-pojec-historycznych/1652-stan" TargetMode="External"/><Relationship Id="rId17" Type="http://schemas.openxmlformats.org/officeDocument/2006/relationships/hyperlink" Target="https://www.e-historia.com.pl/69-galeria-postaci-historycznych/1902-jan-bez-zie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9-galeria-postaci-historycznych/1914-ryszard-i-lwie-serce" TargetMode="External"/><Relationship Id="rId20" Type="http://schemas.openxmlformats.org/officeDocument/2006/relationships/hyperlink" Target="https://www.e-historia.com.pl/69-galeria-postaci-historycznych/1907-ludwik-ix-swiet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11" Type="http://schemas.openxmlformats.org/officeDocument/2006/relationships/hyperlink" Target="https://www.e-historia.com.pl/68-podreczny-slowniczek-pojec-historycznych/1875-nobilitacj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-historia.com.pl/68-podreczny-slowniczek-pojec-historycznych/1647-immunit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-historia.com.pl/68-podreczny-slowniczek-pojec-historycznych/1654-wasal" TargetMode="External"/><Relationship Id="rId19" Type="http://schemas.openxmlformats.org/officeDocument/2006/relationships/hyperlink" Target="https://www.e-historia.com.pl/70-katalog-nazw/1966-stany-genera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historia.com.pl/68-podreczny-slowniczek-pojec-historycznych/1693-lenno" TargetMode="External"/><Relationship Id="rId14" Type="http://schemas.openxmlformats.org/officeDocument/2006/relationships/hyperlink" Target="https://www.e-historia.com.pl/69-galeria-postaci-historycznych/1926-tomasz-becket" TargetMode="External"/><Relationship Id="rId22" Type="http://schemas.openxmlformats.org/officeDocument/2006/relationships/hyperlink" Target="https://www.e-historia.com.pl/69-galeria-postaci-historycznych/1995-bonifacy-viii-benedetto-gaeta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2020-05-31T13:21:00Z</dcterms:created>
  <dcterms:modified xsi:type="dcterms:W3CDTF">2020-05-31T14:16:00Z</dcterms:modified>
</cp:coreProperties>
</file>